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140 SGB 12 — Übergangsregelung für die Bedarfe für Unterkunft während der Karenzzeit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Zeiten eines Leistungsbezugs bis zum 31. Dezember 2022 bleiben bei der Karenzzeit nach § 35 Absatz 1 Satz 2 unberücksichtigt.</w:t>
      </w:r>
    </w:p>
    <w:p>
      <w:r>
        <w:t xml:space="preserve">(2) § 35 Absatz 1 Satz 2 bis 6 gilt nicht in den Fällen, in denen in einem der vorangegangenen Bewilligungszeiträume für die aktuell bewohnte Unterkunft die angemessenen und nicht die tatsächlichen Aufwendungen als Bedarf anerkannt wurden.</w:t>
      </w:r>
    </w:p>
    <w:p>
      <w:r>
        <w:rPr>
          <w:color w:val="555555"/>
          <w:sz w:val="17"/>
        </w:rPr>
        <w:t xml:space="preserve">Zitiervorschlag: § 140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