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134 SGB 12 — Fortschreibung der Regelbedarfsstufen zum 1. Januar 2023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Veränderungsrate für die Fortschreibung der Regelbedarfsstufen nach § 28a Absatz 3 zum 1. Januar 2023 beträgt 4,54 Prozent. Die Veränderungsrate für die Fortschreibung der Regelbedarfsstufen nach § 28a Absatz 4 zum 1. Januar 2023 beträgt 6,9 Prozent. Die Anlage zu § 28 ist zum 1. Januar 2023 zu ergänzen.</w:t>
      </w:r>
    </w:p>
    <w:p>
      <w:r>
        <w:t xml:space="preserve">(2) Die Veränderungsrate für die Fortschreibung der Bedarfe nach § 34 Absatz 3 für das Jahr 2023 beträgt 11,75 Prozent. Die Anlage zu § 34 ist zum 1. Januar 2023 zu ergänzen.</w:t>
      </w:r>
    </w:p>
    <w:p>
      <w:r>
        <w:rPr>
          <w:color w:val="555555"/>
          <w:sz w:val="17"/>
        </w:rPr>
        <w:t xml:space="preserve">Zitiervorschlag: § 134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134 SGB 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