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132 SGB 12 — Übergangsregelung zur Sozialhilfegewährung für Deutsche im Ausland</w:t>
      </w:r>
    </w:p>
    <w:p>
      <w:r>
        <w:rPr>
          <w:color w:val="555555"/>
          <w:sz w:val="18"/>
        </w:rPr>
        <w:t xml:space="preserve">Sozialgesetzbuch (SGB) Zwölftes Buch (XII) - Sozialhilfe - (Artikel 1 des Gesetzes vom 27. Dezember 2003, BGBl. I S. 3022)</w:t>
      </w:r>
    </w:p>
    <w:p>
      <w:r>
        <w:rPr>
          <w:color w:val="555555"/>
          <w:sz w:val="18"/>
        </w:rPr>
        <w:t xml:space="preserve">Stand: 10.06.2019 (konsolidierte Textfassung, kein amtliches Inkrafttretensdatum)</w:t>
      </w:r>
    </w:p>
    <w:p>
      <w:r>
        <w:t xml:space="preserve">(1) Deutsche, die am 31. Dezember 2003 Leistungen nach § 147b des Bundessozialhilfegesetzes in der zu diesem Zeitpunkt geltenden Fassung bezogen haben, erhalten diese Leistungen bei fortdauernder Bedürftigkeit weiter.</w:t>
      </w:r>
    </w:p>
    <w:p>
      <w:r>
        <w:t xml:space="preserve">(2) Deutsche,</w:t>
      </w:r>
    </w:p>
    <w:p>
      <w:pPr>
        <w:ind w:left="420"/>
      </w:pPr>
      <w:r>
        <w:t xml:space="preserve">1. die in den dem 1. Januar 2004 vorangegangenen 24 Kalendermonaten ohne Unterbrechung Leistungen nach § 119 des Bundessozialhilfegesetzes in der am 31. Dezember 2003 geltenden Fassung bezogen haben und</w:t>
      </w:r>
    </w:p>
    <w:p>
      <w:pPr>
        <w:ind w:left="420"/>
      </w:pPr>
      <w:r>
        <w:t xml:space="preserve">2. in dem Aufenthaltsstaat über eine dauerhafte Aufenthaltsgenehmigung verfügen,</w:t>
      </w:r>
    </w:p>
    <w:p>
      <w:r>
        <w:t xml:space="preserve">erhalten diese Leistungen bei fortdauernder Bedürftigkeit weiter. Für Deutsche, die am 31. Dezember 2003 Leistungen nach § 119 des Bundessozialhilfegesetzes in der am 31. Dezember 2003 geltenden Fassung bezogen haben und weder die Voraussetzungen nach Satz 1 noch die Voraussetzungen des § 24 Abs. 1 erfüllen, enden die Leistungen bei fortdauernder Bedürftigkeit mit Ablauf des 31. März 2004.</w:t>
      </w:r>
    </w:p>
    <w:p>
      <w:r>
        <w:t xml:space="preserve">(3) Deutsche, die die Voraussetzungen des § 1 Abs. 1 des Bundesentschädigungsgesetzes erfüllen und</w:t>
      </w:r>
    </w:p>
    <w:p>
      <w:pPr>
        <w:ind w:left="420"/>
      </w:pPr>
      <w:r>
        <w:t xml:space="preserve">1. zwischen dem 30. Januar 1933 und dem 8. Mai 1945 das Gebiet des Deutschen Reiches oder der Freien Stadt Danzig verlassen haben, um sich einer von ihnen nicht zu vertretenden und durch die politischen Verhältnisse bedingten besonderen Zwangslage zu entziehen oder aus den gleichen Gründen nicht in das Gebiet des Deutschen Reiches oder der Freien Stadt Danzig zurückkehren konnten oder</w:t>
      </w:r>
    </w:p>
    <w:p>
      <w:pPr>
        <w:ind w:left="420"/>
      </w:pPr>
      <w:r>
        <w:t xml:space="preserve">2. nach dem 8. Mai 1945 und vor dem 1. Januar 1950 das Gebiet des Deutschen Reiches nach dem Stande vom 31. Dezember 1937 oder das Gebiet der Freien Stadt Danzig verlassen haben,</w:t>
      </w:r>
    </w:p>
    <w:p>
      <w:r>
        <w:t xml:space="preserve">können, sofern sie in dem Aufenthaltsstaat über ein dauerhaftes Aufenthaltsrecht verfügen, in außergewöhnlichen Notlagen Leistungen erhalten, auch wenn sie nicht die Voraussetzungen nach den Absätzen 1 und 2 oder nach § 24 Abs. 1 erfüllen; § 24 Abs. 2 gilt.</w:t>
      </w:r>
    </w:p>
    <w:p>
      <w:r>
        <w:rPr>
          <w:color w:val="555555"/>
          <w:sz w:val="17"/>
        </w:rPr>
        <w:t xml:space="preserve">Zitiervorschlag: § 132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https://recht.nulegal.eu/gesetze/SGB%2012/132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132 SGB 12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