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SGB 12 — Verordnungsermächtigung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Das Bundesministerium für Arbeit und Soziales kann für Zusatzerhebungen nach § 128 im Einvernehmen mit dem Bundesministerium des Innern, für Bau und Heimat durch Rechtsverordnung mit Zustimmung des Bundesrates das Nähere regeln über</w:t>
      </w:r>
    </w:p>
    <w:p>
      <w:pPr>
        <w:ind w:left="420"/>
      </w:pPr>
      <w:r>
        <w:t xml:space="preserve">a) den Kreis der Auskunftspflichtigen nach § 125 Abs. 2,</w:t>
      </w:r>
    </w:p>
    <w:p>
      <w:pPr>
        <w:ind w:left="420"/>
      </w:pPr>
      <w:r>
        <w:t xml:space="preserve">b) die Gruppen von Leistungsberechtigten, denen Hilfen nach dem Dritten und Fünften bis Neunten Kapitel geleistet werden,</w:t>
      </w:r>
    </w:p>
    <w:p>
      <w:pPr>
        <w:ind w:left="420"/>
      </w:pPr>
      <w:r>
        <w:t xml:space="preserve">c) die Leistungsberechtigten, denen bestimmte einzelne Leistungen der Hilfen nach dem Dritten und Fünften bis Neunten Kapitel geleistet werden,</w:t>
      </w:r>
    </w:p>
    <w:p>
      <w:pPr>
        <w:ind w:left="420"/>
      </w:pPr>
      <w:r>
        <w:t xml:space="preserve">d) den Zeitpunkt der Erhebungen,</w:t>
      </w:r>
    </w:p>
    <w:p>
      <w:pPr>
        <w:ind w:left="420"/>
      </w:pPr>
      <w:r>
        <w:t xml:space="preserve">e) die erforderlichen Erhebungs- und Hilfsmerkmale im Sinne der §§ 122 und 123 und</w:t>
      </w:r>
    </w:p>
    <w:p>
      <w:pPr>
        <w:ind w:left="420"/>
      </w:pPr>
      <w:r>
        <w:t xml:space="preserve">f) die Art der Erhebung (Vollerhebung oder Zufallsstichprobe).</w:t>
      </w:r>
    </w:p>
    <w:p>
      <w:r>
        <w:rPr>
          <w:color w:val="555555"/>
          <w:sz w:val="17"/>
        </w:rPr>
        <w:t xml:space="preserve">Zitiervorschlag: § 129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