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 SGB 12 — Verordnungsermächtigung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Das Bundesministerium für Arbeit und Soziales wird ermächtigt, durch Rechtsverordnung mit Zustimmung des Bundesrates</w:t>
      </w:r>
    </w:p>
    <w:p>
      <w:pPr>
        <w:ind w:left="420"/>
      </w:pPr>
      <w:r>
        <w:t xml:space="preserve">1. das Nähere über das Verfahren des automatisierten Datenabgleichs nach § 118 Abs. 1 und die Kosten des Verfahrens zu regeln; dabei ist vorzusehen, dass die Zuleitung an die Auskunftsstellen durch eine zentrale Vermittlungsstelle (Kopfstelle) zu erfolgen hat, deren Zuständigkeitsbereich zumindest das Gebiet eines Bundeslandes umfasst, und</w:t>
      </w:r>
    </w:p>
    <w:p>
      <w:pPr>
        <w:ind w:left="420"/>
      </w:pPr>
      <w:r>
        <w:t xml:space="preserve">2. das Nähere über die Verfahren und die Kosten nach § 118 Absatz 1a und 2 zu regeln.</w:t>
      </w:r>
    </w:p>
    <w:p>
      <w:r>
        <w:rPr>
          <w:color w:val="555555"/>
          <w:sz w:val="17"/>
        </w:rPr>
        <w:t xml:space="preserve">Zitiervorschlag: § 120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