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116a SGB 12 — Rücknahme von Verwaltungsakten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44 des Zehnten Buches gilt mit der Maßgabe, dass</w:t>
      </w:r>
    </w:p>
    <w:p>
      <w:pPr>
        <w:ind w:left="420"/>
      </w:pPr>
      <w:r>
        <w:t xml:space="preserve">1. rechtswidrige nicht begünstigende Verwaltungsakte nach den Absätzen 1 und 2 nicht später als vier Jahre nach Ablauf des Jahres, in dem der Verwaltungsakt bekanntgegeben wurde, zurückzunehmen sind; ausreichend ist, wenn die Rücknahme innerhalb dieses Zeitraumes beantragt wird,</w:t>
      </w:r>
    </w:p>
    <w:p>
      <w:pPr>
        <w:ind w:left="420"/>
      </w:pPr>
      <w:r>
        <w:t xml:space="preserve">2. anstelle des Zeitraums von vier Jahren nach Absatz 4 Satz 1 ein Zeitraum von einem Jahr tritt.</w:t>
      </w:r>
    </w:p>
    <w:p>
      <w:r>
        <w:rPr>
          <w:color w:val="555555"/>
          <w:sz w:val="17"/>
        </w:rPr>
        <w:t xml:space="preserve">Zitiervorschlag: § 116a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https://recht.nulegal.eu/gesetze/SGB%2012/116a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