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116 SGB 12 — Beteiligung sozial erfahrener Dritter</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Soweit Landesrecht nichts Abweichendes bestimmt, sind vor dem Erlass allgemeiner Verwaltungsvorschriften sozial erfahrene Dritte zu hören, insbesondere aus Vereinigungen, die Bedürftige betreuen, oder aus Vereinigungen von Sozialleistungsempfängern.</w:t>
      </w:r>
    </w:p>
    <w:p>
      <w:r>
        <w:t xml:space="preserve">(2) Soweit Landesrecht nichts Abweichendes bestimmt, sind vor dem Erlass des Verwaltungsaktes über einen Widerspruch gegen die Ablehnung der Sozialhilfe oder gegen die Festsetzung ihrer Art und Höhe Dritte, wie sie in Absatz 1 bezeichnet sind, beratend zu beteiligen.</w:t>
      </w:r>
    </w:p>
    <w:p>
      <w:r>
        <w:rPr>
          <w:color w:val="555555"/>
          <w:sz w:val="17"/>
        </w:rPr>
        <w:t xml:space="preserve">Zitiervorschlag: § 116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