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SGB 12 — Ersatzansprüche der Träger der Sozialhilfe nach sonstigen Vorschriften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Bestimmt sich das Recht des Trägers der Sozialhilfe, Ersatz seiner Aufwendungen von einem anderen zu verlangen, gegen den die Leistungsberechtigten einen Anspruch haben, nach sonstigen gesetzlichen Vorschriften, die dem § 93 vorgehen, gelten als Aufwendungen</w:t>
      </w:r>
    </w:p>
    <w:p>
      <w:pPr>
        <w:ind w:left="420"/>
      </w:pPr>
      <w:r>
        <w:t xml:space="preserve">1. die Kosten der Leistung für diejenige Person, die den Anspruch gegen den anderen hat, und</w:t>
      </w:r>
    </w:p>
    <w:p>
      <w:pPr>
        <w:ind w:left="420"/>
      </w:pPr>
      <w:r>
        <w:t xml:space="preserve">2. die Kosten für Leistungen nach dem Dritten und Vierten Kapitel, die gleichzeitig mit der Leistung nach Nummer 1 für den nicht getrennt lebenden Ehegatten oder Lebenspartner und die minderjährigen unverheirateten Kinder geleistet wurden.</w:t>
      </w:r>
    </w:p>
    <w:p>
      <w:r>
        <w:rPr>
          <w:color w:val="555555"/>
          <w:sz w:val="17"/>
        </w:rPr>
        <w:t xml:space="preserve">Zitiervorschlag: § 114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