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SGB 12 — Verjährung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Anspruch auf Erstattung der aufgewendeten Kosten verjährt in vier Jahren, beginnend nach Ablauf des Kalenderjahres, in dem er entstanden ist.</w:t>
      </w:r>
    </w:p>
    <w:p>
      <w:r>
        <w:t xml:space="preserve">(2) Für die Hemmung, die Ablaufhemmung, den Neubeginn und die Wirkung der Verjährung gelten die Vorschriften des Bürgerlichen Gesetzbuchs sinngemäß.</w:t>
      </w:r>
    </w:p>
    <w:p>
      <w:r>
        <w:rPr>
          <w:color w:val="555555"/>
          <w:sz w:val="17"/>
        </w:rPr>
        <w:t xml:space="preserve">Zitiervorschlag: § 111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