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102a SGB 12 — Rücküberweisung und Erstattung im Todesfall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17.06.2021 (konsolidierte Textfassung, kein amtliches Inkrafttretensdatum)</w:t>
      </w:r>
    </w:p>
    <w:p>
      <w:r>
        <w:t xml:space="preserve">Für Geldleistungen nach diesem Buch, die für Zeiträume nach dem Todesmonat der leistungsberechtigten Person überwiesen wurden, ist § 118 Absatz 3 bis 4a des Sechsten Buches entsprechend anzuwenden.</w:t>
      </w:r>
    </w:p>
    <w:p>
      <w:r>
        <w:rPr>
          <w:color w:val="555555"/>
          <w:sz w:val="17"/>
        </w:rPr>
        <w:t xml:space="preserve">Zitiervorschlag: § 102a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https://recht.nulegal.eu/gesetze/SGB%2012/102a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