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97d SGB 11 — Begutachtung durch unabhängige Gutachter</w:t>
      </w:r>
    </w:p>
    <w:p>
      <w:r>
        <w:rPr>
          <w:color w:val="555555"/>
          <w:sz w:val="18"/>
        </w:rPr>
        <w:t xml:space="preserve">Sozialgesetzbuch (SGB) - Elftes Buch (XI) - Soziale Pflegeversicherung (Artikel 1 des Gesetzes vom 26. Mai 1994, BGBl. I S. 1014)</w:t>
      </w:r>
    </w:p>
    <w:p>
      <w:r>
        <w:rPr>
          <w:color w:val="555555"/>
          <w:sz w:val="18"/>
        </w:rPr>
        <w:t xml:space="preserve">Stand: 01.10.2023 (konsolidierte Textfassung, kein amtliches Inkrafttretensdatum)</w:t>
      </w:r>
    </w:p>
    <w:p>
      <w:r>
        <w:t xml:space="preserve">(1) Von den Pflegekassen gemäß § 18 Absatz 1 Satz 1 beauftragte unabhängige Gutachter sind berechtigt, personenbezogene Daten des Antragstellers zu verarbeiten, soweit dies für die Zwecke der Begutachtung gemäß der §§ 18 bis 18c erforderlich ist. Die Daten sind vertraulich zu behandeln. Durch technische und organisatorische Maßnahmen ist sicherzustellen, dass die Daten nur den Personen zugänglich sind, die sie zur Erfüllung des dem Gutachter von den Pflegekassen nach § 18 Absatz 1 Satz 1 erteilten Auftrags benötigen.</w:t>
      </w:r>
    </w:p>
    <w:p>
      <w:r>
        <w:t xml:space="preserve">(2) Die unabhängigen Gutachter dürfen das Ergebnis der Prüfung zur Feststellung der Pflegebedürftigkeit sowie die Präventions- und Rehabilitationsempfehlung gemäß den §§ 18 bis 18c an die sie beauftragende Pflegekasse übermitteln, soweit dies zur Erfüllung der gesetzlichen Aufgaben der Pflegekasse erforderlich ist; § 35 des Ersten Buches gilt entsprechend. Dabei ist sicherzustellen, dass das Ergebnis der Prüfung zur Feststellung der Pflegebedürftigkeit sowie die Präventions- und Rehabilitationsempfehlung nur den Personen zugänglich gemacht werden, die sie zur Erfüllung ihrer Aufgaben benötigen.</w:t>
      </w:r>
    </w:p>
    <w:p>
      <w:r>
        <w:t xml:space="preserve">(3) Die personenbezogenen Daten sind nach fünf Jahren zu löschen. § 107 Absatz 1 Satz 2 gilt entsprechend.</w:t>
      </w:r>
    </w:p>
    <w:p>
      <w:r>
        <w:rPr>
          <w:color w:val="555555"/>
          <w:sz w:val="17"/>
        </w:rPr>
        <w:t xml:space="preserve">Zitiervorschlag: § 97d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https://recht.nulegal.eu/gesetze/SGB%2011/97d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