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78a SGB 11 — Verträge über digitale Pflegeanwendungen und Verzeichnis für digitale Pflegeanwendungen, Verordnungsermächtigung</w:t>
      </w:r>
    </w:p>
    <w:p>
      <w:r>
        <w:rPr>
          <w:color w:val="555555"/>
          <w:sz w:val="18"/>
        </w:rPr>
        <w:t xml:space="preserve">Sozialgesetzbuch (SGB) - Elftes Buch (XI) - Soziale Pflegeversicherung (Artikel 1 des Gesetzes vom 26. Mai 1994, BGBl. I S. 1014)</w:t>
      </w:r>
    </w:p>
    <w:p>
      <w:r>
        <w:rPr>
          <w:color w:val="555555"/>
          <w:sz w:val="18"/>
        </w:rPr>
        <w:t xml:space="preserve">Stand: 01.07.2026 (konsolidierte Textfassung, kein amtliches Inkrafttretensdatum)</w:t>
      </w:r>
    </w:p>
    <w:p>
      <w:r>
        <w:t xml:space="preserve">(1) Der Spitzenverband Bund der Pflegekassen vereinbart im Einvernehmen mit der Bundesarbeitsgemeinschaft der überörtlichen Träger der Sozialhilfe und der Eingliederungshilfe mit dem Hersteller einer digitalen Pflegeanwendung innerhalb von drei Monaten nach Aufnahme der digitalen Pflegeanwendung in das Verzeichnis nach Absatz 3 einen Vergütungsbetrag sowie technische und vertragliche Rahmenbedingungen für die Zurverfügungstellung der digitalen Pflegeanwendungen nach § 40a Absatz 4. Die Vereinbarungen gelten ab dem darin vereinbarten Zeitpunkt. Kommt innerhalb der Frist nach Satz 1 keine Einigung zustande, entscheidet die Schiedsstelle nach § 134 Absatz 3 des Fünften Buches mit der Maßgabe, dass an die Stelle der zwei Vertreter der Krankenkassen zwei Vertreter der Pflegekassen und an die Stelle der zwei Vertreter der Hersteller digitaler Gesundheitsanwendungen zwei Vertreter der Hersteller von digitalen Pflegeanwendungen treten. An den Sitzungen der Schiedsstelle können anstelle der Vertreter der Patientenorganisationen nach § 140f des Fünften Buches Vertreter der maßgeblichen Organisationen für die Wahrnehmung der Interessen und der Selbsthilfe pflegebedürftiger und behinderter Menschen nach § 118 beratend teilnehmen. Der Hersteller übermittelt dem Spitzenverband Bund der Pflegekassen zur Vorbereitung der Verhandlungen unverzüglich</w:t>
      </w:r>
    </w:p>
    <w:p>
      <w:pPr>
        <w:ind w:left="420"/>
      </w:pPr>
      <w:r>
        <w:t xml:space="preserve">1. den Nachweis nach Absatz 4 Satz 3 Nummer 3 und</w:t>
      </w:r>
    </w:p>
    <w:p>
      <w:pPr>
        <w:ind w:left="420"/>
      </w:pPr>
      <w:r>
        <w:t xml:space="preserve">2. die Angaben zur Höhe des tatsächlichen Preises bei Abgabe an Selbstzahler und in anderen europäischen Ländern.</w:t>
      </w:r>
    </w:p>
    <w:p>
      <w:r>
        <w:t xml:space="preserve">Die Hersteller digitaler Pflegeanwendungen stellen dem Spitzenverband Bund der Pflegekassen nach Aufnahme in das Verzeichnis nach Absatz 3 einen kostenfreien und auf drei Monate beschränkten Zugang zu den digitalen Pflegeanwendungen zur Verfügung.</w:t>
      </w:r>
    </w:p>
    <w:p>
      <w:r>
        <w:t xml:space="preserve">(2) Der Spitzenverband Bund der Pflegekassen trifft im Einvernehmen mit der Bundesarbeitsgemeinschaft der überörtlichen Träger der Sozialhilfe und der Eingliederungshilfe mit den für die Wahrnehmung der wirtschaftlichen Interessen gebildeten maßgeblichen Spitzenorganisationen der Hersteller von digitalen Pflegeanwendungen auf Bundesebene eine Rahmenvereinbarung über die Maßstäbe für die Vereinbarungen der Vergütungsbeträge sowie zu den Grundsätzen der technischen und vertraglichen Rahmenbedingungen für die Zurverfügungstellung der digitalen Pflegeanwendungen. Kommt innerhalb von drei Monaten nach Inkrafttreten der Rechtsverordnung nach Absatz 6 eine Rahmenvereinbarung nicht zustande, setzen die unparteiischen Mitglieder der Schiedsstelle nach Absatz 1 Satz 3 innerhalb von drei Monaten die Rahmenvereinbarung im Benehmen mit dem Spitzenverband Bund der Pflegekassen sowie den in Satz 1 genannten Verbänden auf Antrag einer Vertragspartei und im Einvernehmen mit der Bundesarbeitsgemeinschaft der überörtlichen Träger der Sozialhilfe und der Eingliederungshilfe fest.</w:t>
      </w:r>
    </w:p>
    <w:p>
      <w:r>
        <w:t xml:space="preserve">(3) Das Bundesinstitut für Arzneimittel und Medizinprodukte führt ein barrierefreies Verzeichnis für digitale Pflegeanwendungen. § 139e Absatz 1 Satz 2 und 3 des Fünften Buches gilt entsprechend.</w:t>
      </w:r>
    </w:p>
    <w:p>
      <w:r>
        <w:t xml:space="preserve">(4) Die Aufnahme in das Verzeichnis nach Absatz 3 erfolgt auf elektronischen Antrag des Herstellers einer digitalen Pflegeanwendung beim Bundesinstitut für Arzneimittel und Medizinprodukte. Der Hersteller hat die vom Bundesinstitut für Arzneimittel und Medizinprodukte auf seiner Internetseite bereitgestellten elektronischen Antragsformulare zu verwenden. Der Hersteller hat dem Antrag Nachweise darüber beizufügen, dass die digitale Pflegeanwendung</w:t>
      </w:r>
    </w:p>
    <w:p>
      <w:pPr>
        <w:ind w:left="420"/>
      </w:pPr>
      <w:r>
        <w:t xml:space="preserve">1. die in der Rechtsverordnung nach Absatz 6 Nummer 2 geregelten Anforderungen an die Sicherheit, Funktionstauglichkeit und Qualität erfüllt,</w:t>
      </w:r>
    </w:p>
    <w:p>
      <w:pPr>
        <w:ind w:left="420"/>
      </w:pPr>
      <w:r>
        <w:t xml:space="preserve">2. die Anforderungen an den Datenschutz erfüllt und die Datensicherheit nach dem Stand der Technik gewährleistet und</w:t>
      </w:r>
    </w:p>
    <w:p>
      <w:pPr>
        <w:ind w:left="420"/>
      </w:pPr>
      <w:r>
        <w:t xml:space="preserve">3. im Sinne der Rechtsverordnung nach Absatz 6 Nummer 2 einen pflegerischen Nutzen im Sinne des § 40a Absatz 1 oder 1a aufweist.</w:t>
      </w:r>
    </w:p>
    <w:p>
      <w:r>
        <w:t xml:space="preserve">Die Qualität einer digitalen Pflegeanwendung im Sinne des Satzes 3 Nummer 1 bemisst sich insbesondere nach folgenden Kriterien:</w:t>
      </w:r>
    </w:p>
    <w:p>
      <w:pPr>
        <w:ind w:left="420"/>
      </w:pPr>
      <w:r>
        <w:t xml:space="preserve">1. Barrierefreiheit,</w:t>
      </w:r>
    </w:p>
    <w:p>
      <w:pPr>
        <w:ind w:left="420"/>
      </w:pPr>
      <w:r>
        <w:t xml:space="preserve">2. altersgerechte Nutzbarkeit,</w:t>
      </w:r>
    </w:p>
    <w:p>
      <w:pPr>
        <w:ind w:left="420"/>
      </w:pPr>
      <w:r>
        <w:t xml:space="preserve">3. Robustheit,</w:t>
      </w:r>
    </w:p>
    <w:p>
      <w:pPr>
        <w:ind w:left="420"/>
      </w:pPr>
      <w:r>
        <w:t xml:space="preserve">4. Verbraucherschutz,</w:t>
      </w:r>
    </w:p>
    <w:p>
      <w:pPr>
        <w:ind w:left="420"/>
      </w:pPr>
      <w:r>
        <w:t xml:space="preserve">5. Qualität der pflegebezogenen Inhalte und</w:t>
      </w:r>
    </w:p>
    <w:p>
      <w:pPr>
        <w:ind w:left="420"/>
      </w:pPr>
      <w:r>
        <w:t xml:space="preserve">6. Unterstützung der Pflegebedürftigen, Angehörigen und zugelassenen ambulanten Pflegeeinrichtungen bei der Nutzung der digitalen Pflegeanwendung.</w:t>
      </w:r>
    </w:p>
    <w:p>
      <w:r>
        <w:t xml:space="preserve">Auch wenn die digitale Pflegeanwendung mehrfach zur Nutzung abgerufen wird oder eine andere Funktion beinhaltet, die nicht in das Verzeichnis nach Absatz 3 aufgenommen wurde, steht dem Hersteller für die digitale Pflegeanwendung kein höherer als der nach Absatz 1 vereinbarte Vergütungsbetrag zu. Eine Differenzierung der Vergütungsbeträge nach Absatz 1 nach Kostenträgern ist nicht zulässig. Die nach Absatz 1 vereinbarten Vergütungsbeträge sind für den Hersteller und gegenüber den Pflegebedürftigen bindend.</w:t>
      </w:r>
    </w:p>
    <w:p>
      <w:r>
        <w:t xml:space="preserve">(5) Das Bundesinstitut für Arzneimittel und Medizinprodukte entscheidet über den Antrag des Herstellers innerhalb von drei Monaten nach Eingang der vollständigen Antragsunterlagen durch Bescheid; in begründeten Einzelfällen kann die Frist um bis zu weitere drei Monate verlängert werden. Legt der Hersteller unvollständige Antragsunterlagen vor, fordert ihn das Bundesinstitut für Arzneimittel und Medizinprodukte auf, den Antrag innerhalb von einer Frist von drei Monaten zu ergänzen. Liegen nach Ablauf der Frist keine vollständigen Antragsunterlagen vor und hat der Hersteller keine Erprobung nach Absatz 6a beantragt, ist der Antrag abzulehnen. Das Bundesinstitut für Arzneimittel und Medizinprodukte berät die Hersteller digitaler Pflegeanwendungen zu den Antrags- und Anzeigeverfahren sowie zu den Voraussetzungen, die erfüllt sein müssen, damit die Versorgung mit der jeweiligen digitalen Pflegeanwendung nach den §§ 40a und 40b zu Lasten der Pflegeversicherung erbracht werden kann. Im Übrigen gilt § 139e Absatz 6 bis 8 des Fünften Buches entsprechend. Das Bundesinstitut für Arzneimittel und Medizinprodukte informiert die Vertragsparteien nach § 75 Absatz 1, die an Rahmenverträgen über ambulante Pflege beteiligt sind, über die erforderlichen ergänzenden Unterstützungsleistungen. Das Bundesinstitut für Arzneimittel und Medizinprodukte informiert unverzüglich den Spitzenverband Bund der Pflegekassen über die Aufnahme einer digitalen Pflegeanwendung in das Verzeichnis nach Absatz 3. Der Spitzenverband Bund der Pflegekassen informiert unverzüglich das Bundesinstitut für Arzneimittel und Medizinprodukte über den nach Absatz 1 vereinbarten Vergütungsbetrag.</w:t>
      </w:r>
    </w:p>
    <w:p>
      <w:r>
        <w:t xml:space="preserve">(6) Das Bundesministerium für Gesundheit wird ermächtigt, durch Rechtsverordnung im Benehmen mit dem Bundesministerium für Arbeit und Soziales ohne Zustimmung des Bundesrates das Nähere zu regeln zu</w:t>
      </w:r>
    </w:p>
    <w:p>
      <w:pPr>
        <w:ind w:left="420"/>
      </w:pPr>
      <w:r>
        <w:t xml:space="preserve">1. den Inhalten des Verzeichnisses, dessen Veröffentlichung, der Interoperabilität des elektronischen Verzeichnisses mit elektronischen Transparenzportalen Dritter und der Nutzung der Inhalte des Verzeichnisses durch Dritte,</w:t>
      </w:r>
    </w:p>
    <w:p>
      <w:pPr>
        <w:ind w:left="420"/>
      </w:pPr>
      <w:r>
        <w:t xml:space="preserve">2. den Anforderungen an die Sicherheit, Funktionstauglichkeit und Qualität, einschließlich der Anforderungen an die Interoperabilität, den Datenschutz und die Datensicherheit, sowie das Nähere zu dem pflegerischen Nutzen im Sinne des § 40a Absatz 1 oder 1a,</w:t>
      </w:r>
    </w:p>
    <w:p>
      <w:pPr>
        <w:ind w:left="420"/>
      </w:pPr>
      <w:r>
        <w:t xml:space="preserve">3. den anzeigepflichtigen Veränderungen der digitalen Pflegeanwendung einschließlich deren Dokumentation,</w:t>
      </w:r>
    </w:p>
    <w:p>
      <w:pPr>
        <w:ind w:left="420"/>
      </w:pPr>
      <w:r>
        <w:t xml:space="preserve">4. den Einzelheiten des Antrags- und Anzeigeverfahrens sowie des Formularwesens beim Bundesinstitut für Arzneimittel und Medizinprodukte,</w:t>
      </w:r>
    </w:p>
    <w:p>
      <w:pPr>
        <w:ind w:left="420"/>
      </w:pPr>
      <w:r>
        <w:t xml:space="preserve">5. dem Schiedsverfahren nach Absatz 1 Satz 3, insbesondere der Bestellung der Mitglieder der Schiedsstelle nach Absatz 1 Satz 3, der Erstattung der baren Auslagen und der Entschädigung für den Zeitaufwand der Mitglieder der Schiedsstelle nach Absatz 1 Satz 3, dem Verfahren, dem Teilnahmerecht des Bundesministeriums für Gesundheit und der Vertreter der Organisationen, die für die Wahrnehmung der Interessen der Pflegebedürftigen maßgeblich sind, an den Sitzungen der Schiedsstelle nach Absatz 1 Satz 3 sowie der Verteilung der Kosten,</w:t>
      </w:r>
    </w:p>
    <w:p>
      <w:pPr>
        <w:ind w:left="420"/>
      </w:pPr>
      <w:r>
        <w:t xml:space="preserve">6. den Gebühren und Gebührensätzen für die von den Herstellern zu tragenden Kosten und Auslagen,</w:t>
      </w:r>
    </w:p>
    <w:p>
      <w:pPr>
        <w:ind w:left="420"/>
      </w:pPr>
      <w:r>
        <w:t xml:space="preserve">7. den nach Absatz 6a Satz 2 zur Erprobung beizufügenden Unterlagen.</w:t>
      </w:r>
    </w:p>
    <w:p>
      <w:r>
        <w:t xml:space="preserve">(6a) Ist dem Hersteller noch nicht möglich, einen pflegerischen Nutzen im Sinne des § 40a Absatz 1 oder 1a nachzuweisen, so kann er nach Absatz 4 auch beantragen, dass die digitale Pflegeanwendung ab dem in Absatz 1 Satz 2 zwischen den Vertragspartnern vereinbarten Zeitpunkt für bis zu zwölf Monate in das Verzeichnis nach Absatz 3 zur Erprobung aufgenommen wird. Der Hersteller hat dem Antrag folgende Unterlagen beizufügen:</w:t>
      </w:r>
    </w:p>
    <w:p>
      <w:pPr>
        <w:ind w:left="420"/>
      </w:pPr>
      <w:r>
        <w:t xml:space="preserve">1. Nachweise nach Absatz 4 Satz 3 Nummer 1 und 2,</w:t>
      </w:r>
    </w:p>
    <w:p>
      <w:pPr>
        <w:ind w:left="420"/>
      </w:pPr>
      <w:r>
        <w:t xml:space="preserve">2. eine plausible Begründung für den pflegerischen Nutzen und</w:t>
      </w:r>
    </w:p>
    <w:p>
      <w:pPr>
        <w:ind w:left="420"/>
      </w:pPr>
      <w:r>
        <w:t xml:space="preserve">3. ein von einer herstellerunabhängigen Institution erstelltes wissenschaftliches Evaluationskonzept zum Nachweis des pflegerischen Nutzens.</w:t>
      </w:r>
    </w:p>
    <w:p>
      <w:r>
        <w:t xml:space="preserve">Über die Aufnahme der digitalen Pflegeanwendung in das Verzeichnis nach Absatz 3 zur Erprobung entscheidet das Bundesinstitut für Arzneimittel und Medizinprodukte durch Bescheid. Die Erprobung und ihre Dauer sind im Verzeichnis für digitale Pflegeanwendungen kenntlich zu machen. Der Hersteller hat dem Bundesinstitut für Arzneimittel und Medizinprodukte spätestens nach Ablauf des Erprobungszeitraums den Nachweis des pflegerischen Nutzens der erprobten digitalen Pflegeanwendung vorzulegen. Das Bundesinstitut für Arzneimittel und Medizinprodukte entscheidet über die endgültige Aufnahme der erprobten digitalen Pflegeanwendung in das Verzeichnis innerhalb von drei Monaten nach Eingang der vollständigen Nachweise durch Bescheid. Ist der pflegerische Nutzen nicht hinreichend belegt, besteht aber aufgrund der vorgelegten Erprobungsergebnisse eine überwiegende Wahrscheinlichkeit einer späteren Nachweisführung, so kann das Bundesinstitut für Arzneimittel und Medizinprodukte den Zeitraum der vorläufigen Aufnahme in das Verzeichnis zur Erprobung um bis zu zwölf Monate verlängern. Lehnt das Bundesinstitut für Arzneimittel und Medizinprodukte eine Aufnahme in das Verzeichnis endgültig ab, so hat es die zur Erprobung vorläufig aufgenommene digitale Pflegeanwendung aus dem Verzeichnis zu streichen. Eine erneute Antragstellung nach Absatz 4 ist frühestens zwölf Monate nach dem ablehnenden Bescheid des Bundesinstituts für Arzneimittel und Medizinprodukte und auch nur dann zulässig, wenn neue Nachweise vorgelegt werden. Eine wiederholte vorläufige Aufnahme in das Verzeichnis zur Erprobung ist nicht zulässig. Soweit in diesem Absatz nichts anderes bestimmt ist, gelten die Absätze 1 bis 6 und 7 bis 9 entsprechend.</w:t>
      </w:r>
    </w:p>
    <w:p>
      <w:r>
        <w:t xml:space="preserve">(7) Das Bundesamt für Sicherheit in der Informationstechnik legt im Einvernehmen mit dem Bundesinstitut für Arzneimittel und Medizinprodukte und im Benehmen mit der oder dem Bundesbeauftragten für den Datenschutz und die Informationsfreiheit erstmals bis zum 31. Dezember 2021 und dann in der Regel jährlich die von digitalen Pflegeanwendungen nach Absatz 4 Satz 3 Nummer 2 zu gewährleistenden Anforderungen an die Datensicherheit fest. § 139e Absatz 10 Satz 2 bis 4 des Fünften Buches gilt entsprechend.</w:t>
      </w:r>
    </w:p>
    <w:p>
      <w:r>
        <w:t xml:space="preserve">(8) Das Bundesinstitut für Arzneimittel und Medizinprodukte legt im Einvernehmen mit der oder dem Bundesbeauftragten für den Datenschutz und die Informationsfreiheit und im Benehmen mit dem Bundesamt für Sicherheit in der Informationstechnik erstmals bis zum 31. März 2022 und dann in der Regel jährlich die Prüfkriterien für die von Herstellern einer digitalen Pflegeanwendung nach Absatz 4 Satz 3 Nummer 2 nachzuweisende Erfüllung der Anforderungen an den Datenschutz fest. § 139e Absatz 11 Satz 2 des Fünften Buches gilt entsprechend.</w:t>
      </w:r>
    </w:p>
    <w:p>
      <w:r>
        <w:t xml:space="preserve">(9) Der Spitzenverband Bund der Pflegekassen legt über das Bundesministerium für Gesundheit und das Bundesministerium für Arbeit und Soziales dem Deutschen Bundestag jährlich, erstmals zum 1. April 2025, einen barrierefreien Bericht vor. Der Bericht enthält Informationen über die Inanspruchnahme der Leistungen nach den §§ 39a und 40a, insbesondere dazu, wie viele Pflegebedürftige der jeweiligen Pflegegrade Leistungen in Anspruch genommen haben und welche Mittel die Pflegekassen dafür verausgabt haben. Hinsichtlich der Leistungen der privaten Versicherungsunternehmen, die die private Pflege-Pflichtversicherung durchführen, bezieht der Spitzenverband Bund der Pflegekassen den Verband der privaten Krankenversicherung e. V. mit ein. Das Bundesministerium für Gesundheit kann weitere Inhalte des Berichts in der Verordnung nach Absatz 6 festlegen.</w:t>
      </w:r>
    </w:p>
    <w:p>
      <w:r>
        <w:rPr>
          <w:color w:val="555555"/>
          <w:sz w:val="17"/>
        </w:rPr>
        <w:t xml:space="preserve">Zitiervorschlag: § 78a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https://recht.nulegal.eu/gesetze/SGB%2011/78a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