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SGB 11 — Ausgleichsfonds</w:t>
      </w:r>
    </w:p>
    <w:p>
      <w:r>
        <w:rPr>
          <w:color w:val="555555"/>
          <w:sz w:val="18"/>
        </w:rPr>
        <w:t xml:space="preserve">Sozialgesetzbuch (SGB) - Elftes Buch (XI) - Soziale Pflegeversicherung (Artikel 1 des Gesetzes vom 26. Mai 1994, BGBl. I S. 1014)</w:t>
      </w:r>
    </w:p>
    <w:p>
      <w:r>
        <w:rPr>
          <w:color w:val="555555"/>
          <w:sz w:val="18"/>
        </w:rPr>
        <w:t xml:space="preserve">Stand: 01.01.2023 (konsolidierte Textfassung, kein amtliches Inkrafttretensdatum)</w:t>
      </w:r>
    </w:p>
    <w:p>
      <w:r>
        <w:t xml:space="preserve">(1) Das Bundesamt für Soziale Sicherung verwaltet als Sondervermögen (Ausgleichsfonds) die eingehenden Beträge aus:</w:t>
      </w:r>
    </w:p>
    <w:p>
      <w:pPr>
        <w:ind w:left="420"/>
      </w:pPr>
      <w:r>
        <w:t xml:space="preserve">1. den Beiträgen aus den Rentenzahlungen,</w:t>
      </w:r>
    </w:p>
    <w:p>
      <w:pPr>
        <w:ind w:left="420"/>
      </w:pPr>
      <w:r>
        <w:t xml:space="preserve">2. den von den Pflegekassen überwiesenen Überschüssen aus Betriebsmitteln und Rücklage (§ 64 Abs. 4),</w:t>
      </w:r>
    </w:p>
    <w:p>
      <w:pPr>
        <w:ind w:left="420"/>
      </w:pPr>
      <w:r>
        <w:t xml:space="preserve">3. den vom Gesundheitsfonds überwiesenen Beiträgen der Versicherten.</w:t>
      </w:r>
    </w:p>
    <w:p>
      <w:r>
        <w:t xml:space="preserve">(2) Die im Laufe eines Jahres entstehenden Kapitalerträge werden dem Sondervermögen gutgeschrieben.</w:t>
      </w:r>
    </w:p>
    <w:p>
      <w:r>
        <w:t xml:space="preserve">(3) Die Mittel des Ausgleichsfonds sind so anzulegen, daß sie für den in den §§ 67, 68 genannten Zweck verfügbar sind.</w:t>
      </w:r>
    </w:p>
    <w:p>
      <w:r>
        <w:t xml:space="preserve">(4) Die dem Bundesamt für Soziale Sicherung bei der Verwaltung des Ausgleichsfonds entstehenden Kosten werden durch die Mittel des Ausgleichsfonds gedeckt. Das Bundesministerium für Gesundheit wird ermächtigt, im Einvernehmen mit dem Bundesministerium der Finanzen und dem Bundesministerium für Arbeit und Soziales durch Rechtsverordnung ohne Zustimmung des Bundesrates Vorschriften zu erlassen, die Näheres zu der Erstattung der Verwaltungskosten regeln.</w:t>
      </w:r>
    </w:p>
    <w:p>
      <w:r>
        <w:t xml:space="preserve">(5) Für das Haushalts- und Rechnungswesen des Ausgleichsfonds gelten die §§ 76 und 77 Absatz 1 Satz 1 und Absatz 1a Satz 1 bis 3 entsprechend; für die Anlage der Mittel gelten die §§ 80, 83 Absatz 1 und 2 bis 4, die §§ 84 und 86 des Vierten Buches entsprechend. Die Mittel des Ausgleichsfonds können abweichend von § 83 Absatz 1 Nummer 2 Buchstabe b und c sowie Nummer 4 Buchstabe c des Vierten Buches angelegt werden bei Kreditinstituten, die die geltenden Vorschriften über das Eigenkapital und die Liquidität einhalten. Die Einhaltung der Vorschriften über das Eigenkapital und die Liquidität ist regelmäßig, mindestens jährlich, zu überprüfen.</w:t>
      </w:r>
    </w:p>
    <w:p>
      <w:r>
        <w:rPr>
          <w:color w:val="555555"/>
          <w:sz w:val="17"/>
        </w:rPr>
        <w:t xml:space="preserve">Zitiervorschlag: § 65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