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SGB 11 — Rücklage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Pflegekasse hat zur Sicherstellung ihrer Leistungsfähigkeit eine Rücklage zu bilden.</w:t>
      </w:r>
    </w:p>
    <w:p>
      <w:r>
        <w:t xml:space="preserve">(2) Die Rücklage beträgt 50 vom Hundert des nach dem Haushaltsplan durchschnittlich auf den Monat entfallenden Betrages der Ausgaben (Rücklagesoll).</w:t>
      </w:r>
    </w:p>
    <w:p>
      <w:r>
        <w:t xml:space="preserve">(3) Die Pflegekasse hat Mittel aus der Rücklage den Betriebsmitteln zuzuführen, wenn Einnahme- und Ausgabeschwankungen innerhalb eines Haushaltsjahres nicht durch die Betriebsmittel ausgeglichen werden können.</w:t>
      </w:r>
    </w:p>
    <w:p>
      <w:r>
        <w:t xml:space="preserve">(4) Übersteigt die Rücklage das Rücklagesoll, so ist der übersteigende Betrag den Betriebsmitteln bis zu der in § 63 Abs. 2 genannten Höhe zuzuführen. Darüber hinaus verbleibende Überschüsse sind bis zum 15. des Monats an den Ausgleichsfonds nach § 65 zu überweisen.</w:t>
      </w:r>
    </w:p>
    <w:p>
      <w:r>
        <w:t xml:space="preserve">(5) Die Rücklage ist getrennt von den sonstigen Mitteln so anzulegen, daß sie für den nach Absatz 1 bestimmten Zweck verfügbar ist. Sie wird von der Pflegekasse verwaltet.</w:t>
      </w:r>
    </w:p>
    <w:p>
      <w:r>
        <w:rPr>
          <w:color w:val="555555"/>
          <w:sz w:val="17"/>
        </w:rPr>
        <w:t xml:space="preserve">Zitiervorschlag: § 64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