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43a SGB 11 — Inhalt der Leistung</w:t>
      </w:r>
    </w:p>
    <w:p>
      <w:r>
        <w:rPr>
          <w:color w:val="555555"/>
          <w:sz w:val="18"/>
        </w:rPr>
        <w:t xml:space="preserve">Sozialgesetzbuch (SGB) - Elftes Buch (XI) - Soziale Pflegeversicherung (Artikel 1 des Gesetzes vom 26. Mai 1994, BGBl. I S. 1014)</w:t>
      </w:r>
    </w:p>
    <w:p>
      <w:r>
        <w:rPr>
          <w:color w:val="555555"/>
          <w:sz w:val="18"/>
        </w:rPr>
        <w:t xml:space="preserve">Stand: 13.01.2026 (konsolidierte Textfassung, kein amtliches Inkrafttretensdatum)</w:t>
      </w:r>
    </w:p>
    <w:p>
      <w:r>
        <w:t xml:space="preserve">Für Pflegebedürftige der Pflegegrade 2 bis 5 in einer vollstationären Einrichtung im Sinne des § 71 Absatz 4 Nummer 1, in der die Teilhabe am Arbeitsleben, an Bildung oder die soziale Teilhabe, die schulische Ausbildung oder die Erziehung von Menschen mit Behinderungen im Vordergrund des Einrichtungszwecks stehen, übernimmt die Pflegekasse zur Abgeltung der in § 43 Absatz 2 genannten Aufwendungen 15 Prozent der nach Teil 2 Kapitel 8 des Neunten Buches vereinbarten Vergütung. Die Aufwendungen der Pflegekasse dürfen im Einzelfall je Kalendermonat 278 Euro nicht überschreiten. Die Sätze 1 und 2 gelten auch für Pflegebedürftige der Pflegegrade 2 bis 5 in Räumlichkeiten im Sinne des § 71 Absatz 4 Nummer 3, die Leistungen der Eingliederungshilfe für Menschen mit Behinderungen nach Teil 2 des Neunten Buches erhalten. Wird für die Tage, an denen die Pflegebedürftigen im Sinne der Sätze 1 und 3 zu Hause gepflegt und betreut werden, anteiliges Pflegegeld beansprucht, gelten die Tage der An- und Abreise als volle Tage der häuslichen Pflege.</w:t>
      </w:r>
    </w:p>
    <w:p>
      <w:r>
        <w:rPr>
          <w:color w:val="555555"/>
          <w:sz w:val="17"/>
        </w:rPr>
        <w:t xml:space="preserve">Zitiervorschlag: § 43a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https://recht.nulegal.eu/gesetze/SGB%2011/43a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