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SGB 11 — Inhalt und Übermittlung des Gutachtens</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Das Gutachten des Medizinischen Dienstes oder der von der Pflegekasse beauftragten Gutachterinnen oder Gutachter beinhaltet</w:t>
      </w:r>
    </w:p>
    <w:p>
      <w:pPr>
        <w:ind w:left="420"/>
      </w:pPr>
      <w:r>
        <w:t xml:space="preserve">1. die Feststellungen, die in der Begutachtung nach § 18a vorzunehmen sind, insbesondere das Ergebnis der Prüfung, ob die Voraussetzungen der Pflegebedürftigkeit erfüllt sind und welcher Pflegegrad vorliegt, sowie</w:t>
      </w:r>
    </w:p>
    <w:p>
      <w:pPr>
        <w:ind w:left="420"/>
      </w:pPr>
      <w:r>
        <w:t xml:space="preserve">2. Feststellungen, ob und in welchem Umfang Maßnahmen zur Vermeidung, Überwindung, Minderung oder Verhinderung einer Verschlimmerung der Pflegebedürftigkeit geeignet, notwendig und zumutbar sind; Empfehlungen auszusprechen sind insbesondere zu</w:t>
      </w:r>
    </w:p>
    <w:p>
      <w:pPr>
        <w:ind w:left="780"/>
      </w:pPr>
      <w:r>
        <w:t xml:space="preserve">a) Maßnahmen der Prävention,</w:t>
      </w:r>
    </w:p>
    <w:p>
      <w:pPr>
        <w:ind w:left="780"/>
      </w:pPr>
      <w:r>
        <w:t xml:space="preserve">b) Maßnahmen der medizinischen Rehabilitation,</w:t>
      </w:r>
    </w:p>
    <w:p>
      <w:pPr>
        <w:ind w:left="780"/>
      </w:pPr>
      <w:r>
        <w:t xml:space="preserve">c) Maßnahmen zur Hilfsmittel- und Pflegehilfsmittelversorgung,</w:t>
      </w:r>
    </w:p>
    <w:p>
      <w:pPr>
        <w:ind w:left="780"/>
      </w:pPr>
      <w:r>
        <w:t xml:space="preserve">d) Maßnahmen zur Heilmittelversorgung,</w:t>
      </w:r>
    </w:p>
    <w:p>
      <w:pPr>
        <w:ind w:left="780"/>
      </w:pPr>
      <w:r>
        <w:t xml:space="preserve">e) anderen therapeutischen Maßnahmen,</w:t>
      </w:r>
    </w:p>
    <w:p>
      <w:pPr>
        <w:ind w:left="780"/>
      </w:pPr>
      <w:r>
        <w:t xml:space="preserve">f) Maßnahmen zur Verbesserung des individuellen oder gemeinsamen Wohnumfelds,</w:t>
      </w:r>
    </w:p>
    <w:p>
      <w:pPr>
        <w:ind w:left="780"/>
      </w:pPr>
      <w:r>
        <w:t xml:space="preserve">g) edukativen Maßnahmen und</w:t>
      </w:r>
    </w:p>
    <w:p>
      <w:pPr>
        <w:ind w:left="780"/>
      </w:pPr>
      <w:r>
        <w:t xml:space="preserve">h) einer Beratung zu Leistungen zur verhaltensbezogenen Primärprävention nach § 20 Absatz 5 des Fünften Buches.</w:t>
      </w:r>
    </w:p>
    <w:p>
      <w:r>
        <w:t xml:space="preserve">Beantragt der Pflegebedürftige Pflegegeld, hat sich die gutachterliche Stellungnahme auch darauf zu erstrecken, ob die häusliche Pflege in geeigneter Weise sichergestellt ist.</w:t>
      </w:r>
    </w:p>
    <w:p>
      <w:r>
        <w:t xml:space="preserve">(2) Die Feststellungen zur Prävention und zur medizinischen Rehabilitation sind auf der Grundlage eines bundeseinheitlichen, strukturierten Verfahrens zu treffen und in einer gesonderten Präventions- und Rehabilitationsempfehlung zu dokumentieren. Im Umfang des nach Absatz 1 Satz 1 Nummer 2 Buchstabe b festgestellten Bedarfs an Leistungen zur medizinischen Rehabilitation haben Versicherte einen Anspruch gegen den zuständigen Träger auf diese Leistungen.</w:t>
      </w:r>
    </w:p>
    <w:p>
      <w:r>
        <w:t xml:space="preserve">(3) Die im Gutachten gegebenen konkreten Empfehlungen zur Hilfsmittel- und Pflegehilfsmittelversorgung gelten hinsichtlich Hilfsmitteln und Pflegehilfsmitteln, die den Zielen von § 40 dienen, jeweils als Antrag auf Leistungsgewährung, sofern der Versicherte zustimmt. Bezüglich der empfohlenen Hilfsmittel, die den Zielen nach § 40 dienen, wird das Vorliegen der nach § 33 Absatz 1 des Fünften Buches notwendigen Erforderlichkeit vermutet; insofern bedarf es keiner ärztlichen Verordnung gemäß § 33 Absatz 5a des Fünften Buches. Bezüglich der empfohlenen Pflegehilfsmittel wird die Notwendigkeit der Versorgung nach § 40 Absatz 1 Satz 2 vermutet. Welche Hilfsmittel und Pflegehilfsmittel im Sinne von Satz 1 den Zielen von § 40 dienen, wird in den Richtlinien nach § 17 Absatz 1 konkretisiert. Dabei ist auch die Richtlinie des Gemeinsamen Bundesausschusses nach § 92 Absatz 1 Satz 2 Nummer 6 des Fünften Buches über die Verordnung von Hilfsmitteln zu berücksichtigen.</w:t>
      </w:r>
    </w:p>
    <w:p>
      <w:r>
        <w:t xml:space="preserve">(4) Das vollständige Gutachten muss vom Medizinischen Dienst oder von der von der Pflegekasse beauftragten Gutachterin oder von dem von der Pflegekasse beauftragten Gutachter unverzüglich der Pflegekasse in gesicherter elektronischer Form übermittelt werden; eine davon abweichende Form der Übermittlung ist noch bis einschließlich 30. November 2023 zulässig.</w:t>
      </w:r>
    </w:p>
    <w:p>
      <w:r>
        <w:rPr>
          <w:color w:val="555555"/>
          <w:sz w:val="17"/>
        </w:rPr>
        <w:t xml:space="preserve">Zitiervorschlag: § 18b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