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146a SGB 11 — Übergangsregelung zur Versorgung von pflegebedürftigen Mitgliedern geistlicher Genossenschaften, Diakonissen und ähnlichen Personen in ordensinterner Pflege</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Pflegekassen übernehmen im Zeitraum vom 1. Januar 2026 bis zum 31. Dezember 2035 die pflegebedingten Aufwendungen einschließlich der Aufwendungen für Betreuung und die Aufwendungen der medizinischen Behandlungspflege für pflegebedürftige satzungsmäßige Mitglieder geistlicher Genossenschaften, Diakonissen und ähnliche Personen, wenn</w:t>
      </w:r>
    </w:p>
    <w:p>
      <w:pPr>
        <w:ind w:left="420"/>
      </w:pPr>
      <w:r>
        <w:t xml:space="preserve">1. diese innerhalb des Klausurbereichs einer Ordenseinrichtung leben, in der die pflegerische Versorgung der Ordensmitglieder oder Angehöriger anderer Ordensgemeinschaften bis zum 31. Dezember 2025 auf eigener vertraglicher Grundlage mit den Pflegekassen erbracht wurde, und</w:t>
      </w:r>
    </w:p>
    <w:p>
      <w:pPr>
        <w:ind w:left="420"/>
      </w:pPr>
      <w:r>
        <w:t xml:space="preserve">2. die pflegerische Versorgung weiterhin innerhalb des Klausurbereichs einer Ordenseinrichtung erbracht und durch diese sichergestellt wird.</w:t>
      </w:r>
    </w:p>
    <w:p>
      <w:r>
        <w:t xml:space="preserve">Der Anspruch ist in Abhängigkeit vom jeweiligen Pflegegrad je Kalendermonat auf die Höhe der Beträge nach § 43 Absatz 2 Satz 2 und Absatz 3 begrenzt. Weitere Ansprüche auf Leistungen nach den §§ 36 bis 45h stehen den Pflegebedürftigen daneben nicht zu.</w:t>
      </w:r>
    </w:p>
    <w:p>
      <w:r>
        <w:t xml:space="preserve">(2) Der Spitzenverband Bund der Pflegekassen für die Verbände der Pflegekassen auf Bundesebene und die Vereinigungen der Ordensgemeinschaften entwickeln gemeinsam ein Konzept zur langfristigen pflegerischen Versorgung der pflegebedürftigen Personen nach Absatz 1 unter Einhaltung der Vorschriften dieses Buches und ergreifen entsprechende Maßnahmen zur Umsetzung.</w:t>
      </w:r>
    </w:p>
    <w:p>
      <w:r>
        <w:rPr>
          <w:color w:val="555555"/>
          <w:sz w:val="17"/>
        </w:rPr>
        <w:t xml:space="preserve">Zitiervorschlag: § 146a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https://recht.nulegal.eu/gesetze/SGB%2011/146a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