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143 SGB 11 — Sonderanpassungsrecht für die Allgemeinen Versicherungsbedingungen und die technischen Berechnungsgrundlagen privater Pflegeversicherungsverträge</w:t>
      </w:r>
    </w:p>
    <w:p>
      <w:r>
        <w:rPr>
          <w:color w:val="555555"/>
          <w:sz w:val="18"/>
        </w:rPr>
        <w:t xml:space="preserve">Sozialgesetzbuch (SGB) - Elftes Buch (XI) - Soziale Pflegeversicherung (Artikel 1 des Gesetzes vom 26. Mai 1994, BGBl. I S. 1014)</w:t>
      </w:r>
    </w:p>
    <w:p>
      <w:r>
        <w:rPr>
          <w:color w:val="555555"/>
          <w:sz w:val="18"/>
        </w:rPr>
        <w:t xml:space="preserve">Stand: 03.08.2021 (konsolidierte Textfassung, kein amtliches Inkrafttretensdatum)</w:t>
      </w:r>
    </w:p>
    <w:p>
      <w:r>
        <w:t xml:space="preserve">(1) Bei einer Pflegeversicherung, bei der die Prämie nach Art der Lebensversicherung berechnet wird und bei der das ordentliche Kündigungsrecht des Versicherers gesetzlich oder vertraglich ausgeschlossen ist, kann der Versicherer seine Allgemeinen Versicherungsbedingungen auch für bestehende Versicherungsverhältnisse entsprechend den Vorgaben nach § 140 ändern, soweit der Versicherungsfall durch den Pflegebedürftigkeitsbegriff nach den §§ 14 und 15 bestimmt wird.</w:t>
      </w:r>
    </w:p>
    <w:p>
      <w:r>
        <w:t xml:space="preserve">(2) Der Versicherer ist zudem berechtigt, auch für bestehende Versicherungsverhältnisse die technischen Berechnungsgrundlagen insoweit zu ändern, als die Leistungen an die Pflegegrade nach § 140 Absatz 2 und die Prämien daran angepasst werden. § 155 Absatz 1 und 2 des Versicherungsaufsichtsgesetzes findet Anwendung.</w:t>
      </w:r>
    </w:p>
    <w:p>
      <w:r>
        <w:t xml:space="preserve">(3) Dem Versicherungsnehmer sind die geänderten Versicherungsbedingungen nach Absatz 1 und die Neufestsetzung der Prämie nach Absatz 2 unter Kenntlichmachung der Unterschiede sowie unter Hinweis auf die hierfür maßgeblichen Gründe in Textform mitzuteilen. Anpassungen nach den Absätzen 1 und 2 werden zu Beginn des zweiten Monats wirksam, der auf die Benachrichtigung des Versicherungsnehmers folgt.</w:t>
      </w:r>
    </w:p>
    <w:p>
      <w:r>
        <w:t xml:space="preserve">(4) Gesetzlich oder vertraglich vorgesehene Sonderkündigungsrechte des Versicherungsnehmers bleiben hiervon unberührt.</w:t>
      </w:r>
    </w:p>
    <w:p>
      <w:r>
        <w:rPr>
          <w:color w:val="555555"/>
          <w:sz w:val="17"/>
        </w:rPr>
        <w:t xml:space="preserve">Zitiervorschlag: § 143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https://recht.nulegal.eu/gesetze/SGB%2011/143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