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SGB 11 — Pflegevorsorgezulage; Fördervoraussetzungen</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Leistet die zulageberechtigte Person mindestens einen Beitrag von monatlich 10 Euro im jeweiligen Beitragsjahr zugunsten einer auf ihren Namen lautenden, gemäß Absatz 2 förderfähigen privaten Pflege-Zusatzversicherung, hat sie Anspruch auf eine Zulage in Höhe von monatlich 5 Euro. Die Zulage wird bei dem Mindestbeitrag nach Satz 1 nicht berücksichtigt. Die Zulage wird je zulageberechtigter Person für jeden Monat nur für einen Versicherungsvertrag gewährt. Der Mindestbeitrag und die Zulage sind für den förderfähigen Tarif zu verwenden.</w:t>
      </w:r>
    </w:p>
    <w:p>
      <w:r>
        <w:t xml:space="preserve">(2) Eine nach diesem Kapitel förderfähige private Pflege-Zusatzversicherung liegt vor, wenn das Versicherungsunternehmen hierfür</w:t>
      </w:r>
    </w:p>
    <w:p>
      <w:pPr>
        <w:ind w:left="420"/>
      </w:pPr>
      <w:r>
        <w:t xml:space="preserve">1. die Kalkulation nach Art der Lebensversicherung gemäß § 146 Absatz 1 Nummer 1 und 2 des Versicherungsaufsichtsgesetzes vorsieht,</w:t>
      </w:r>
    </w:p>
    <w:p>
      <w:pPr>
        <w:ind w:left="420"/>
      </w:pPr>
      <w:r>
        <w:t xml:space="preserve">2. allen in § 126 genannten Personen einen Anspruch auf Versicherung gewährt,</w:t>
      </w:r>
    </w:p>
    <w:p>
      <w:pPr>
        <w:ind w:left="420"/>
      </w:pPr>
      <w:r>
        <w:t xml:space="preserve">3. auf das ordentliche Kündigungsrecht sowie auf eine Risikoprüfung und die Vereinbarung von Risikozuschlägen und Leistungsausschlüssen verzichtet,</w:t>
      </w:r>
    </w:p>
    <w:p>
      <w:pPr>
        <w:ind w:left="420"/>
      </w:pPr>
      <w:r>
        <w:t xml:space="preserve">4. bei Vorliegen von Pflegebedürftigkeit im Sinne des § 14 einen vertraglichen Anspruch auf Auszahlung von Geldleistungen für jeden der in § 15 Absatz 3 und 7 aufgeführten Pflegegrade, dabei in Höhe von mindestens 600 Euro für Pflegegrad 5, vorsieht; die tariflich vorgesehenen Geldleistungen dürfen dabei die zum Zeitpunkt des Vertragsabschlusses jeweils geltende Höhe der Leistungen dieses Buches nicht überschreiten, eine Dynamisierung bis zur Höhe der allgemeinen Inflationsrate ist jedoch zulässig; weitere Leistungen darf der förderfähige Tarif nicht vorsehen,</w:t>
      </w:r>
    </w:p>
    <w:p>
      <w:pPr>
        <w:ind w:left="420"/>
      </w:pPr>
      <w:r>
        <w:t xml:space="preserve">5. bei der Feststellung des Versicherungsfalles sowie der Festsetzung des Pflegegrades dem Ergebnis des Verfahrens zur Feststellung der Pflegebedürftigkeit gemäß den §§ 18 bis 18c folgt; bei Versicherten der privaten Pflege-Pflichtversicherung sind die entsprechenden Feststellungen des privaten Versicherungsunternehmens zugrunde zu legen,</w:t>
      </w:r>
    </w:p>
    <w:p>
      <w:pPr>
        <w:ind w:left="420"/>
      </w:pPr>
      <w:r>
        <w:t xml:space="preserve">6. die Wartezeit auf höchstens fünf Jahre beschränkt,</w:t>
      </w:r>
    </w:p>
    <w:p>
      <w:pPr>
        <w:ind w:left="420"/>
      </w:pPr>
      <w:r>
        <w:t xml:space="preserve">7. einem Versicherungsnehmer, der hilfebedürftig im Sinne des Zweiten oder Zwölften Buches ist oder allein durch Zahlung des Beitrags hilfebedürftig würde, einen Anspruch gewährt, den Vertrag ohne Aufrechterhaltung des Versicherungsschutzes für eine Dauer von mindestens drei Jahren ruhen zu lassen oder den Vertrag binnen einer Frist von drei Monaten nach Eintritt der Hilfebedürftigkeit rückwirkend zum Zeitpunkt des Eintritts zu kündigen; für den Fall der Ruhendstellung beginnt diese Frist mit dem Ende der Ruhendstellung, wenn Hilfebedürftigkeit weiterhin vorliegt,</w:t>
      </w:r>
    </w:p>
    <w:p>
      <w:pPr>
        <w:ind w:left="420"/>
      </w:pPr>
      <w:r>
        <w:t xml:space="preserve">8. die Höhe der in Ansatz gebrachten Verwaltungs- und Abschlusskosten begrenzt; das Nähere dazu wird in der Rechtsverordnung nach § 130 geregelt.</w:t>
      </w:r>
    </w:p>
    <w:p>
      <w:r>
        <w:t xml:space="preserve">Der Verband der privaten Krankenversicherung e. V. wird damit beliehen, hierfür brancheneinheitliche Vertragsmuster festzulegen, die von den Versicherungsunternehmen als Teil der Allgemeinen Versicherungsbedingungen förderfähiger Pflege-Zusatzversicherungen zu verwenden sind. Die Beleihung nach Satz 2 umfasst die Befugnis, für Versicherungsunternehmen, die förderfähige private Pflege-Zusatzversicherungen anbieten, einen Ausgleich für Überschäden einzurichten; § 111 Absatz 1 Satz 1 und 2 und Absatz 2 gilt entsprechend. Die Fachaufsicht über den Verband der privaten Krankenversicherung e. V. zu den in den Sätzen 2 und 3 genannten Aufgaben übt das Bundesministerium für Gesundheit aus.</w:t>
      </w:r>
    </w:p>
    <w:p>
      <w:r>
        <w:t xml:space="preserve">(3) Der Anspruch auf die Zulage entsteht mit Ablauf des Kalenderjahres, für das die Beiträge zu einer privaten Pflege-Zusatzversicherung gemäß § 127 Absatz 1 geleistet worden sind (Beitragsjahr).</w:t>
      </w:r>
    </w:p>
    <w:p>
      <w:r>
        <w:rPr>
          <w:color w:val="555555"/>
          <w:sz w:val="17"/>
        </w:rPr>
        <w:t xml:space="preserve">Zitiervorschlag: § 127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