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SGB 11 — Bußgeldvorschrift</w:t>
      </w:r>
    </w:p>
    <w:p>
      <w:r>
        <w:rPr>
          <w:color w:val="555555"/>
          <w:sz w:val="18"/>
        </w:rPr>
        <w:t xml:space="preserve">Sozialgesetzbuch (SGB) - Elftes Buch (XI) - Soziale Pflegeversicherung (Artikel 1 des Gesetzes vom 26. Mai 1994, BGBl. I S. 1014)</w:t>
      </w:r>
    </w:p>
    <w:p>
      <w:r>
        <w:rPr>
          <w:color w:val="555555"/>
          <w:sz w:val="18"/>
        </w:rPr>
        <w:t xml:space="preserve">Stand: 26.01.2020 (konsolidierte Textfassung, kein amtliches Inkrafttretensdatum)</w:t>
      </w:r>
    </w:p>
    <w:p>
      <w:r>
        <w:t xml:space="preserve">(1) Ordnungswidrig handelt, wer vorsätzlich oder leichtfertig</w:t>
      </w:r>
    </w:p>
    <w:p>
      <w:pPr>
        <w:ind w:left="420"/>
      </w:pPr>
      <w:r>
        <w:t xml:space="preserve">1. der Verpflichtung zum Abschluß oder zur Aufrechterhaltung des privaten Pflegeversicherungsvertrages nach § 23 Abs. 1 Satz 1 und 2 oder § 23 Abs. 4 oder der Verpflichtung zur Aufrechterhaltung des privaten Pflegeversicherungsvertrages nach § 22 Abs. 1 Satz 2 nicht nachkommt,</w:t>
      </w:r>
    </w:p>
    <w:p>
      <w:pPr>
        <w:ind w:left="420"/>
      </w:pPr>
      <w:r>
        <w:t xml:space="preserve">2. entgegen § 50 Abs. 1 Satz 1, § 51 Abs. 1 Satz 1 und 2, § 51 Abs. 3 oder entgegen Artikel 42 Abs. 4 Satz 1 oder 2 des Pflege-Versicherungsgesetzes eine Meldung nicht, nicht richtig, nicht vollständig oder nicht rechtzeitig erstattet,</w:t>
      </w:r>
    </w:p>
    <w:p>
      <w:pPr>
        <w:ind w:left="420"/>
      </w:pPr>
      <w:r>
        <w:t xml:space="preserve">3. entgegen § 50 Abs. 3 Satz 1 Nr. 1 eine Auskunft nicht, nicht richtig, nicht vollständig oder nicht rechtzeitig erteilt oder entgegen § 50 Abs. 3 Satz 1 Nr. 2 eine Änderung nicht, nicht richtig, nicht vollständig oder nicht rechtzeitig mitteilt,</w:t>
      </w:r>
    </w:p>
    <w:p>
      <w:pPr>
        <w:ind w:left="420"/>
      </w:pPr>
      <w:r>
        <w:t xml:space="preserve">4. entgegen § 50 Abs. 3 Satz 2 die erforderlichen Unterlagen nicht, nicht vollständig oder nicht rechtzeitig vorlegt,</w:t>
      </w:r>
    </w:p>
    <w:p>
      <w:pPr>
        <w:ind w:left="420"/>
      </w:pPr>
      <w:r>
        <w:t xml:space="preserve">5. entgegen Artikel 42 Abs. 1 Satz 3 des Pflege-Versicherungsgesetzes den Leistungsumfang seines privaten Versicherungsvertrages nicht oder nicht rechtzeitig anpaßt,</w:t>
      </w:r>
    </w:p>
    <w:p>
      <w:pPr>
        <w:ind w:left="420"/>
      </w:pPr>
      <w:r>
        <w:t xml:space="preserve">6. mit der Entrichtung von sechs Monatsprämien zur privaten Pflegeversicherung in Verzug gerät,</w:t>
      </w:r>
    </w:p>
    <w:p>
      <w:pPr>
        <w:ind w:left="420"/>
      </w:pPr>
      <w:r>
        <w:t xml:space="preserve">7. entgegen § 128 Absatz 1 Satz 4 die dort genannten Daten nicht, nicht richtig, nicht vollständig oder nicht rechtzeitig übermittelt.</w:t>
      </w:r>
    </w:p>
    <w:p>
      <w:r>
        <w:t xml:space="preserve">(2) Die Ordnungswidrigkeit kann mit einer Geldbuße bis zu Zweitausendfünfhundert Euro geahndet werden.</w:t>
      </w:r>
    </w:p>
    <w:p>
      <w:r>
        <w:t xml:space="preserve">(3) Für die von privaten Versicherungsunternehmen begangenen Ordnungswidrigkeiten nach Absatz 1 Nummer 2 und 7 ist das Bundesamt für Soziale Sicherung die Verwaltungsbehörde im Sinne des § 36 Abs. 1 Nr. 1 des Gesetzes über Ordnungswidrigkeiten.</w:t>
      </w:r>
    </w:p>
    <w:p>
      <w:r>
        <w:t xml:space="preserve">(4) Die für die Verfolgung und Ahndung der Ordnungswidrigkeiten nach Absatz 1 Nummer 1 und 6 zuständige Verwaltungsbehörde im Sinne des § 36 Absatz 1 Nummer 2 Buchstabe a oder Absatz 2 des Gesetzes über Ordnungswidrigkeiten kann die zur Ermittlung des Sachverhalts erforderlichen Auskünfte, auch elektronisch und als elektronisches Dokument, bei den nach § 51 Absatz 1 Satz 1 und 2 und Absatz 2 Meldepflichtigen einholen. Diese sollen bei der Ermittlung des Sachverhalts mitwirken. Sie sollen insbesondere ihnen bekannte Tatsachen und Beweismittel angeben. Eine weitergehende Pflicht, bei der Ermittlung des Sachverhalts mitzuwirken, insbesondere eine Pflicht zum persönlichen Erscheinen oder zur Aussage, besteht nur, soweit sie durch Rechtsvorschrift besonders vorgesehen ist.</w:t>
      </w:r>
    </w:p>
    <w:p>
      <w:r>
        <w:rPr>
          <w:color w:val="555555"/>
          <w:sz w:val="17"/>
        </w:rPr>
        <w:t xml:space="preserve">Zitiervorschlag: § 121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