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110a SGB 11 — Befristeter Zuschlag zu privaten Pflege-Pflichtversicherungsverträgen zur Finanzierung pandemiebedingter Mehrausgaben</w:t>
      </w:r>
    </w:p>
    <w:p>
      <w:r>
        <w:rPr>
          <w:color w:val="555555"/>
          <w:sz w:val="18"/>
        </w:rPr>
        <w:t xml:space="preserve">Sozialgesetzbuch (SGB) - Elftes Buch (XI) - Soziale Pflegeversicherung (Artikel 1 des Gesetzes vom 26. Mai 1994, BGBl. I S. 1014)</w:t>
      </w:r>
    </w:p>
    <w:p>
      <w:r>
        <w:rPr>
          <w:color w:val="555555"/>
          <w:sz w:val="18"/>
        </w:rPr>
        <w:t xml:space="preserve">Stand: 03.08.2021 (konsolidierte Textfassung, kein amtliches Inkrafttretensdatum)</w:t>
      </w:r>
    </w:p>
    <w:p>
      <w:r>
        <w:t xml:space="preserve">(1) Für den Zeitraum vom 1. Juli 2021 bis zum 31. Dezember 2022 können private Versicherungsunternehmen, die die private Pflege-Pflichtversicherung durchführen, für bestehende Vertragsverhältnisse über die Prämie hinaus einen monatlichen Zuschlag erheben.</w:t>
      </w:r>
    </w:p>
    <w:p>
      <w:r>
        <w:t xml:space="preserve">(2) Bei der Ermittlung der Höhe des Zuschlags nach Absatz 1 dürfen ausschließlich Mehrausgaben des privaten Versicherungsunternehmens berücksichtigt werden, die</w:t>
      </w:r>
    </w:p>
    <w:p>
      <w:pPr>
        <w:ind w:left="420"/>
      </w:pPr>
      <w:r>
        <w:t xml:space="preserve">1. aus der Erfüllung der Verpflichtung nach § 150 Absatz 4 Satz 5 entstehen oder entstanden sind und</w:t>
      </w:r>
    </w:p>
    <w:p>
      <w:pPr>
        <w:ind w:left="420"/>
      </w:pPr>
      <w:r>
        <w:t xml:space="preserve">2. nicht durch Minderausgaben im Bereich der privaten Pflege-Pflichtversicherung in dem Zeitraum, für den der Erstattungsbetrag nach § 150 Absatz 2 an die zugelassenen Pflegeeinrichtungen gezahlt wurde, kompensiert werden können.</w:t>
      </w:r>
    </w:p>
    <w:p>
      <w:r>
        <w:t xml:space="preserve">Für die Ermittlung der Minderausgaben nach Satz 1 Nummer 2 ist ein Vergleich mit den Ausgaben im Bereich der privaten Pflege-Pflichtversicherung im entsprechenden Zeitraum des Jahres 2019 zugrunde zu legen. Alterungsrückstellungen sind für den Zuschlag nicht zu bilden.</w:t>
      </w:r>
    </w:p>
    <w:p>
      <w:r>
        <w:t xml:space="preserve">(3) Die Mehrausgaben im Sinne des Absatzes 2 sind auf die Tarifstufen gemäß der Zahl der Leistungsempfänger der jeweiligen Tarifstufe zu verteilen und mit dem Zuschlag nach Absatz 1 gleichmäßig durch alle Versicherten der jeweiligen Tarifstufe der privaten Pflege-Pflichtversicherung zu finanzieren.</w:t>
      </w:r>
    </w:p>
    <w:p>
      <w:r>
        <w:t xml:space="preserve">(4) Die Erhebung des Zuschlags nach den Absätzen 1 bis 3 bedarf der Zustimmung eines unabhängigen Treuhänders. § 155 Absatz 1 des Versicherungsaufsichtsgesetzes ist entsprechend anzuwenden.</w:t>
      </w:r>
    </w:p>
    <w:p>
      <w:r>
        <w:t xml:space="preserve">(5) Dem Versicherungsnehmer ist die Höhe des Zuschlags nach Absatz 1 unter Hinweis auf die hierfür maßgeblichen Gründe und auf dessen Befristung in Textform mitzuteilen. Der Zuschlag wird zu Beginn des zweiten Monats wirksam, der auf die Mitteilung nach Satz 1 folgt. § 205 Absatz 4 des Versicherungsvertragsgesetzes gilt entsprechend.</w:t>
      </w:r>
    </w:p>
    <w:p>
      <w:r>
        <w:t xml:space="preserve">(6) Der Zuschlag nach Absatz 1 wird nicht für Personen erhoben, die</w:t>
      </w:r>
    </w:p>
    <w:p>
      <w:pPr>
        <w:ind w:left="420"/>
      </w:pPr>
      <w:r>
        <w:t xml:space="preserve">1. Anspruch auf Arbeitslosengeld haben,</w:t>
      </w:r>
    </w:p>
    <w:p>
      <w:pPr>
        <w:ind w:left="420"/>
      </w:pPr>
      <w:r>
        <w:t xml:space="preserve">2. Anspruch auf Leistungen der Grundsicherung für Arbeitsuchende nach dem Zweiten Buch haben oder</w:t>
      </w:r>
    </w:p>
    <w:p>
      <w:pPr>
        <w:ind w:left="420"/>
      </w:pPr>
      <w:r>
        <w:t xml:space="preserve">3. allein durch die Zahlung des Zuschlags hilfebedürftig im Sinne des Zweiten Buches würden.</w:t>
      </w:r>
    </w:p>
    <w:p>
      <w:r>
        <w:rPr>
          <w:color w:val="555555"/>
          <w:sz w:val="17"/>
        </w:rPr>
        <w:t xml:space="preserve">Zitiervorschlag: § 110a SGB 11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https://recht.nulegal.eu/gesetze/SGB%2011/110a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110a SGB 11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