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SGB 11 — Abweichende Vereinbarungen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Landesverbände der Pflegekassen (§ 52) können mit den Leistungserbringern oder ihren Verbänden vereinbaren, daß</w:t>
      </w:r>
    </w:p>
    <w:p>
      <w:pPr>
        <w:ind w:left="420"/>
      </w:pPr>
      <w:r>
        <w:t xml:space="preserve">1. der Umfang der zu übermittelnden Abrechnungsbelege eingeschränkt,</w:t>
      </w:r>
    </w:p>
    <w:p>
      <w:pPr>
        <w:ind w:left="420"/>
      </w:pPr>
      <w:r>
        <w:t xml:space="preserve">2. bei der Abrechnung von Leistungen von einzelnen Angaben ganz oder teilweise abgesehen</w:t>
      </w:r>
    </w:p>
    <w:p>
      <w:r>
        <w:t xml:space="preserve">wird, wenn dadurch eine ordnungsgemäße Abrechnung und die Erfüllung der gesetzlichen Aufgaben der Pflegekassen nicht gefährdet werden.</w:t>
      </w:r>
    </w:p>
    <w:p>
      <w:r>
        <w:rPr>
          <w:color w:val="555555"/>
          <w:sz w:val="17"/>
        </w:rPr>
        <w:t xml:space="preserve">Zitiervorschlag: § 106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