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103 SGB 11 — Kennzeichen für Leistungsträger und Leistungserbringer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Pflegekassen, die anderen Träger der Sozialversicherung und die Vertragspartner der Pflegekassen einschließlich deren Mitglieder verwenden im Schriftverkehr und für Abrechnungszwecke untereinander bundeseinheitliche Kennzeichen.</w:t>
      </w:r>
    </w:p>
    <w:p>
      <w:r>
        <w:t xml:space="preserve">(2) § 293 Abs. 2 und 3 des Fünften Buches gilt entsprechend.</w:t>
      </w:r>
    </w:p>
    <w:p>
      <w:r>
        <w:rPr>
          <w:color w:val="555555"/>
          <w:sz w:val="17"/>
        </w:rPr>
        <w:t xml:space="preserve">Zitiervorschlag: § 103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https://recht.nulegal.eu/gesetze/SGB%2011/103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103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