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SGB 10 — Auftrag</w:t>
      </w:r>
    </w:p>
    <w:p>
      <w:r>
        <w:rPr>
          <w:color w:val="555555"/>
          <w:sz w:val="18"/>
        </w:rPr>
        <w:t xml:space="preserve">Zehntes Buch Sozialgesetzbuch - Sozialverwaltungsverfahren und Sozialdatenschutz -</w:t>
      </w:r>
    </w:p>
    <w:p>
      <w:r>
        <w:rPr>
          <w:color w:val="555555"/>
          <w:sz w:val="18"/>
        </w:rPr>
        <w:t xml:space="preserve">Stand: 01.01.2024 (konsolidierte Textfassung, kein amtliches Inkrafttretensdatum)</w:t>
      </w:r>
    </w:p>
    <w:p>
      <w:r>
        <w:t xml:space="preserve">(1) Ein Leistungsträger (Auftraggeber) kann ihm obliegende Aufgaben durch einen anderen Leistungsträger oder seinen Verband (Beauftragter) mit dessen Zustimmung wahrnehmen lassen, wenn dies</w:t>
      </w:r>
    </w:p>
    <w:p>
      <w:pPr>
        <w:ind w:left="420"/>
      </w:pPr>
      <w:r>
        <w:t xml:space="preserve">1. wegen des sachlichen Zusammenhangs der Aufgaben vom Auftraggeber und Beauftragten,</w:t>
      </w:r>
    </w:p>
    <w:p>
      <w:pPr>
        <w:ind w:left="420"/>
      </w:pPr>
      <w:r>
        <w:t xml:space="preserve">2. zur Durchführung der Aufgaben und</w:t>
      </w:r>
    </w:p>
    <w:p>
      <w:pPr>
        <w:ind w:left="420"/>
      </w:pPr>
      <w:r>
        <w:t xml:space="preserve">3. im wohlverstandenen Interesse der Betroffenen</w:t>
      </w:r>
    </w:p>
    <w:p>
      <w:r>
        <w:t xml:space="preserve">zweckmäßig ist. Satz 1 gilt nicht im Recht der Ausbildungsförderung, des Kindergelds, der Unterhaltsvorschüsse und Unterhaltsausfallleistungen, im Wohngeldrecht sowie im Recht der Jugendhilfe und der Sozialhilfe.</w:t>
      </w:r>
    </w:p>
    <w:p>
      <w:r>
        <w:t xml:space="preserve">(2) Der Auftrag kann für Einzelfälle sowie für gleichartige Fälle erteilt werden. Ein wesentlicher Teil des gesamten Aufgabenbereichs muss beim Auftraggeber verbleiben.</w:t>
      </w:r>
    </w:p>
    <w:p>
      <w:r>
        <w:t xml:space="preserve">(3) Verbände dürfen Verwaltungsakte nur erlassen, soweit sie hierzu durch Gesetz oder auf Grund eines Gesetzes berechtigt sind. Darf der Verband Verwaltungsakte erlassen, ist die Berechtigung in der für die amtlichen Veröffentlichungen des Verbands sowie der Mitglieder vorgeschriebenen Weise bekannt zu machen.</w:t>
      </w:r>
    </w:p>
    <w:p>
      <w:r>
        <w:t xml:space="preserve">(4) Der Auftraggeber hat einen Auftrag für gleichartige Fälle in der für seine amtlichen Veröffentlichungen vorgeschriebenen Weise bekanntzumachen.</w:t>
      </w:r>
    </w:p>
    <w:p>
      <w:r>
        <w:rPr>
          <w:color w:val="555555"/>
          <w:sz w:val="17"/>
        </w:rPr>
        <w:t xml:space="preserve">Zitiervorschlag: § 88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