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SGB 10 — Strafvorschriften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(1) Für Sozialdaten gelten die Strafvorschriften des § 42 Absatz 1 und 2 des Bundesdatenschutzgesetzes entsprechend.</w:t>
      </w:r>
    </w:p>
    <w:p>
      <w:r>
        <w:t xml:space="preserve">(2) Die Tat wird nur auf Antrag verfolgt. Antragsberechtigt sind die betroffene Person, der Verantwortliche, der oder die Bundesbeauftragte oder die nach Landesrecht für die Kontrolle des Datenschutzes zuständige Stelle.</w:t>
      </w:r>
    </w:p>
    <w:p>
      <w:r>
        <w:t xml:space="preserve">(3) Eine Meldung nach Artikel 33 der Verordnung (EU) 2016/679 oder eine Benachrichtigung nach Artikel 34 Absatz 1 der Verordnung (EU) 2016/679 dürfen in einem Strafverfahren gegen die melde- oder benachrichtigungspflichtige Person oder gegen einen ihrer in § 52 Absatz 1 der Strafprozessordnung bezeichneten Angehörigen nur mit Zustimmung der melde- oder benachrichtigungspflichtigen Person verwendet werden.</w:t>
      </w:r>
    </w:p>
    <w:p>
      <w:r>
        <w:rPr>
          <w:color w:val="555555"/>
          <w:sz w:val="17"/>
        </w:rPr>
        <w:t xml:space="preserve">Zitiervorschlag: § 85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