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77 SGB 10 — Übermittlung ins Ausland und an internationale Organisationen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04.07.2020 (konsolidierte Textfassung, kein amtliches Inkrafttretensdatum)</w:t>
      </w:r>
    </w:p>
    <w:p>
      <w:r>
        <w:t xml:space="preserve">(1) Die Übermittlung von Sozialdaten an Personen oder Stellen in anderen Mitgliedstaaten der Europäischen Union sowie in diesen nach § 35 Absatz 7 des Ersten Buches gleichgestellten Staaten ist zulässig, soweit</w:t>
      </w:r>
    </w:p>
    <w:p>
      <w:pPr>
        <w:ind w:left="420"/>
      </w:pPr>
      <w:r>
        <w:t xml:space="preserve">1. dies für die Erfüllung einer gesetzlichen Aufgabe der in § 35 des Ersten Buches genannten übermittelnden Stelle nach diesem Gesetzbuch oder zur Erfüllung einer solchen Aufgabe von ausländischen Stellen erforderlich ist, soweit diese Aufgaben wahrnehmen, die denen der in § 35 des Ersten Buches genannten Stellen entsprechen,</w:t>
      </w:r>
    </w:p>
    <w:p>
      <w:pPr>
        <w:ind w:left="420"/>
      </w:pPr>
      <w:r>
        <w:t xml:space="preserve">2. die Voraussetzungen des § 69 Absatz 1 Nummer 2 oder Nummer 3 oder des § 70 oder einer Übermittlungsvorschrift nach dem Dritten Buch oder dem Arbeitnehmerüberlassungsgesetz vorliegen und die Aufgaben der ausländischen Stelle den in diesen Vorschriften genannten entsprechen,</w:t>
      </w:r>
    </w:p>
    <w:p>
      <w:pPr>
        <w:ind w:left="420"/>
      </w:pPr>
      <w:r>
        <w:t xml:space="preserve">3. die Voraussetzungen des § 74 vorliegen und die gerichtlich geltend gemachten Ansprüche oder die Rechte des Empfängers den in dieser Vorschrift genannten entsprechen oder</w:t>
      </w:r>
    </w:p>
    <w:p>
      <w:pPr>
        <w:ind w:left="420"/>
      </w:pPr>
      <w:r>
        <w:t xml:space="preserve">4. die Voraussetzungen des § 73 vorliegen; für die Anordnung einer Übermittlung nach § 73 ist ein inländisches Gericht zuständig.</w:t>
      </w:r>
    </w:p>
    <w:p>
      <w:r>
        <w:t xml:space="preserve">Die Übermittlung von Sozialdaten unterbleibt, soweit sie zu den in Artikel 6 des Vertrages über die Europäische Union enthaltenen Grundsätzen in Widerspruch stünde.</w:t>
      </w:r>
    </w:p>
    <w:p>
      <w:r>
        <w:t xml:space="preserve">(2) Absatz 1 gilt entsprechend für die Übermittlung an Personen oder Stellen in einem Drittstaat sowie an internationale Organisationen, wenn deren angemessenes Datenschutzniveau durch Angemessenheitsbeschluss gemäß Artikel 45 der Verordnung (EU) 2016/679 festgestellt wurde.</w:t>
      </w:r>
    </w:p>
    <w:p>
      <w:r>
        <w:t xml:space="preserve">(3) Liegt kein Angemessenheitsbeschluss vor, ist eine Übermittlung von Sozialdaten an Personen oder Stellen in einem Drittstaat oder an internationale Organisationen abweichend von Artikel 46 Absatz 2 Buchstabe a und Artikel 49 Absatz 1 Unterabsatz 1 Buchstabe g der Verordnung (EU) 2016/679 unzulässig. Eine Übermittlung aus wichtigen Gründen des öffentlichen Interesses nach Artikel 49 Absatz 1 Unterabsatz 1 Buchstabe d und Absatz 4 der Verordnung (EU) 2016/679 liegt nur vor, wenn</w:t>
      </w:r>
    </w:p>
    <w:p>
      <w:pPr>
        <w:ind w:left="420"/>
      </w:pPr>
      <w:r>
        <w:t xml:space="preserve">1. die Übermittlung in Anwendung zwischenstaatlicher Übereinkommen auf dem Gebiet der sozialen Sicherheit erfolgt, oder</w:t>
      </w:r>
    </w:p>
    <w:p>
      <w:pPr>
        <w:ind w:left="420"/>
      </w:pPr>
      <w:r>
        <w:t xml:space="preserve">2. soweit die Voraussetzungen des § 69 Absatz 1 Nummer 1 und 2 oder des § 70 vorliegen</w:t>
      </w:r>
    </w:p>
    <w:p>
      <w:r>
        <w:t xml:space="preserve">und soweit die betroffene Person kein schutzwürdiges Interesse an dem Ausschluss der Übermittlung hat.</w:t>
      </w:r>
    </w:p>
    <w:p>
      <w:r>
        <w:t xml:space="preserve">(4) Die Stelle, an die die Sozialdaten übermittelt werden, ist auf den Zweck hinzuweisen, zu dessen Erfüllung die Sozialdaten übermittelt werden.</w:t>
      </w:r>
    </w:p>
    <w:p>
      <w:r>
        <w:rPr>
          <w:color w:val="555555"/>
          <w:sz w:val="17"/>
        </w:rPr>
        <w:t xml:space="preserve">Zitiervorschlag: § 77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https://recht.nulegal.eu/gesetze/SGB%2010/77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77 SGB 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