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SGB 10 — Hemmung der Verjährung durch Verwaltungsakt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Verwaltungsakt, der zur Feststellung oder Durchsetzung des Anspruchs eines öffentlich-rechtlichen Rechtsträgers erlassen wird, hemmt die Verjährung dieses Anspruchs. Die Hemmung endet mit Eintritt der Unanfechtbarkeit des Verwaltungsakts oder sechs Monate nach seiner anderweitigen Erledigung.</w:t>
      </w:r>
    </w:p>
    <w:p>
      <w:r>
        <w:t xml:space="preserve">(2) Ist ein Verwaltungsakt im Sinne des Absatzes 1 unanfechtbar geworden, beträgt die Verjährungsfrist 30 Jahre.</w:t>
      </w:r>
    </w:p>
    <w:p>
      <w:r>
        <w:rPr>
          <w:color w:val="555555"/>
          <w:sz w:val="17"/>
        </w:rPr>
        <w:t xml:space="preserve">Zitiervorschlag: § 52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