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10 — Bestellung eines Empfangsbevollmächtigten</w:t>
      </w:r>
    </w:p>
    <w:p>
      <w:r>
        <w:rPr>
          <w:color w:val="555555"/>
          <w:sz w:val="18"/>
        </w:rPr>
        <w:t xml:space="preserve">Zehntes Buch Sozialgesetzbuch - Sozialverwaltungsverfahren und Sozialdatenschutz -</w:t>
      </w:r>
    </w:p>
    <w:p>
      <w:r>
        <w:rPr>
          <w:color w:val="555555"/>
          <w:sz w:val="18"/>
        </w:rPr>
        <w:t xml:space="preserve">Stand: 01.01.2025 (konsolidierte Textfassung, kein amtliches Inkrafttretensdatum)</w:t>
      </w:r>
    </w:p>
    <w:p>
      <w:r>
        <w:t xml:space="preserve">Ein Beteiligter ohne Wohnsitz oder gewöhnlichen Aufenthalt, Sitz oder Geschäftsleitung im Inland hat der Behörde auf Verlangen innerhalb einer angemessenen Frist einen Empfangsbevollmächtigten im Inland zu benennen. Unterlässt er dies, gilt ein an ihn gerichtetes Schriftstück am siebenten Tage nach der Aufgabe zur Post und ein elektronisch übermitteltes Dokument am vierten Tag nach der Absendung als zugegangen. Dies gilt nicht, wenn feststeht, dass das Dokument den Empfänger nicht oder zu einem späteren Zeitpunkt erreicht hat. Auf die Rechtsfolgen der Unterlassung ist der Beteiligte hinzuweisen.</w:t>
      </w:r>
    </w:p>
    <w:p>
      <w:r>
        <w:rPr>
          <w:color w:val="555555"/>
          <w:sz w:val="17"/>
        </w:rPr>
        <w:t xml:space="preserve">Zitiervorschlag: § 14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