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113 SGB 10 — Verjährung</w:t>
      </w:r>
    </w:p>
    <w:p>
      <w:r>
        <w:rPr>
          <w:color w:val="555555"/>
          <w:sz w:val="18"/>
        </w:rPr>
        <w:t xml:space="preserve">Zehntes Buch Sozialgesetzbuch - Sozialverwaltungsverfahren und Sozialdatenschutz -</w:t>
      </w:r>
    </w:p>
    <w:p>
      <w:r>
        <w:rPr>
          <w:color w:val="555555"/>
          <w:sz w:val="18"/>
        </w:rPr>
        <w:t xml:space="preserve">Stand: 10.06.2019 (konsolidierte Textfassung, kein amtliches Inkrafttretensdatum)</w:t>
      </w:r>
    </w:p>
    <w:p>
      <w:r>
        <w:t xml:space="preserve">(1) Erstattungsansprüche verjähren in vier Jahren nach Ablauf des Kalenderjahres, in dem der erstattungsberechtigte Leistungsträger von der Entscheidung des erstattungspflichtigen Leistungsträgers über dessen Leistungspflicht Kenntnis erlangt hat. Rückerstattungsansprüche verjähren in vier Jahren nach Ablauf des Kalenderjahres, in dem die Erstattung zu Unrecht erfolgt ist.</w:t>
      </w:r>
    </w:p>
    <w:p>
      <w:r>
        <w:t xml:space="preserve">(2) Für die Hemmung, die Ablaufhemmung, den Neubeginn und die Wirkung der Verjährung gelten die Vorschriften des Bürgerlichen Gesetzbuchs sinngemäß.</w:t>
      </w:r>
    </w:p>
    <w:p>
      <w:r>
        <w:rPr>
          <w:color w:val="555555"/>
          <w:sz w:val="17"/>
        </w:rPr>
        <w:t xml:space="preserve">Zitiervorschlag: § 113 SGB 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https://recht.nulegal.eu/gesetze/SGB%2010/113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