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SGB 1 — Soziale Entschädigung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Wer einen Gesundheitsschaden erleidet, für dessen Folgen die staatliche Gemeinschaft in Abgeltung eines besonderen Opfers oder aus anderen Gründen nach Grundsätzen des Sozialen Entschädigungsrechts einsteht, hat ein Recht auf</w:t>
      </w:r>
    </w:p>
    <w:p>
      <w:pPr>
        <w:ind w:left="420"/>
      </w:pPr>
      <w:r>
        <w:t xml:space="preserve">1. die notwendigen Maßnahmen zur Erhaltung, zur Besserung und zur Wiederherstellung der Gesundheit und der Leistungsfähigkeit und</w:t>
      </w:r>
    </w:p>
    <w:p>
      <w:pPr>
        <w:ind w:left="420"/>
      </w:pPr>
      <w:r>
        <w:t xml:space="preserve">2. angemessene wirtschaftliche Versorgung.</w:t>
      </w:r>
    </w:p>
    <w:p>
      <w:r>
        <w:t xml:space="preserve">Ein Recht auf angemessene Leistungen der Sozialen Entschädigung haben auch die Hinterbliebenen eines Geschädigten.</w:t>
      </w:r>
    </w:p>
    <w:p>
      <w:r>
        <w:rPr>
          <w:color w:val="555555"/>
          <w:sz w:val="17"/>
        </w:rPr>
        <w:t xml:space="preserve">Zitiervorschlag: § 5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SGB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