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SGB 1 — Vorschüsse</w:t>
      </w:r>
    </w:p>
    <w:p>
      <w:r>
        <w:rPr>
          <w:color w:val="555555"/>
          <w:sz w:val="18"/>
        </w:rPr>
        <w:t xml:space="preserve">Sozialgesetzbuch (SGB) Erstes Buch (I) - Allgemeiner Teil - (Artikel I des Gesetzes vom 11. Dezember 1975, BGBl. I S. 3015)</w:t>
      </w:r>
    </w:p>
    <w:p>
      <w:r>
        <w:rPr>
          <w:color w:val="555555"/>
          <w:sz w:val="18"/>
        </w:rPr>
        <w:t xml:space="preserve">Stand: 10.06.2019 (konsolidierte Textfassung, kein amtliches Inkrafttretensdatum)</w:t>
      </w:r>
    </w:p>
    <w:p>
      <w:r>
        <w:t xml:space="preserve">(1) Besteht ein Anspruch auf Geldleistungen dem Grunde nach und ist zur Feststellung seiner Höhe voraussichtlich längere Zeit erforderlich, kann der zuständige Leistungsträger Vorschüsse zahlen, deren Höhe er nach pflichtgemäßem Ermessen bestimmt. Er hat Vorschüsse nach Satz 1 zu zahlen, wenn der Berechtigte es beantragt; die Vorschußzahlung beginnt spätestens nach Ablauf eines Kalendermonats nach Eingang des Antrags.</w:t>
      </w:r>
    </w:p>
    <w:p>
      <w:r>
        <w:t xml:space="preserve">(2) Die Vorschüsse sind auf die zustehende Leistung anzurechnen. Soweit sie diese übersteigen, sind sie vom Empfänger zu erstatten. § 50 Abs. 4 des Zehnten Buches gilt entsprechend.</w:t>
      </w:r>
    </w:p>
    <w:p>
      <w:r>
        <w:t xml:space="preserve">(3) Für die Stundung, Niederschlagung und den Erlaß des Erstattungsanspruchs gilt § 76 Abs. 2 des Vierten Buches entsprechend.</w:t>
      </w:r>
    </w:p>
    <w:p>
      <w:r>
        <w:rPr>
          <w:color w:val="555555"/>
          <w:sz w:val="17"/>
        </w:rPr>
        <w:t xml:space="preserve">Zitiervorschlag: § 42 SGB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