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33a SGB 1 — Altersabhängige Rechte und Pflichten</w:t>
      </w:r>
    </w:p>
    <w:p>
      <w:r>
        <w:rPr>
          <w:color w:val="555555"/>
          <w:sz w:val="18"/>
        </w:rPr>
        <w:t xml:space="preserve">Sozialgesetzbuch (SGB) Erstes Buch (I) - Allgemeiner Teil - (Artikel I des Gesetzes vom 11. Dezember 1975, BGBl. I S. 3015)</w:t>
      </w:r>
    </w:p>
    <w:p>
      <w:r>
        <w:rPr>
          <w:color w:val="555555"/>
          <w:sz w:val="18"/>
        </w:rPr>
        <w:t xml:space="preserve">Stand: 10.06.2019 (konsolidierte Textfassung, kein amtliches Inkrafttretensdatum)</w:t>
      </w:r>
    </w:p>
    <w:p>
      <w:r>
        <w:t xml:space="preserve">(1) Sind Rechte oder Pflichten davon abhängig, daß eine bestimmte Altersgrenze erreicht oder nicht überschritten ist, ist das Geburtsdatum maßgebend, das sich aus der ersten Angabe des Berechtigten oder Verpflichteten oder seiner Angehörigen gegenüber einem Sozialleistungsträger oder, soweit es sich um eine Angabe im Rahmen des Dritten oder Sechsten Abschnitts des Vierten Buches handelt, gegenüber dem Arbeitgeber ergibt.</w:t>
      </w:r>
    </w:p>
    <w:p>
      <w:r>
        <w:t xml:space="preserve">(2) Von einem nach Absatz 1 maßgebenden Geburtsdatum darf nur abgewichen werden, wenn der zuständige Leistungsträger feststellt, daß</w:t>
      </w:r>
    </w:p>
    <w:p>
      <w:pPr>
        <w:ind w:left="420"/>
      </w:pPr>
      <w:r>
        <w:t xml:space="preserve">1. ein Schreibfehler vorliegt oder</w:t>
      </w:r>
    </w:p>
    <w:p>
      <w:pPr>
        <w:ind w:left="420"/>
      </w:pPr>
      <w:r>
        <w:t xml:space="preserve">2. sich aus einer Urkunde, deren Original vor dem Zeitpunkt der Angabe nach Absatz 1 ausgestellt worden ist, ein anderes Geburtsdatum ergibt.</w:t>
      </w:r>
    </w:p>
    <w:p>
      <w:r>
        <w:t xml:space="preserve">(3) Die Absätze 1 und 2 gelten für Geburtsdaten, die Bestandteil der Versicherungsnummer oder eines anderen in den Sozialleistungsbereichen dieses Gesetzbuchs verwendeten Kennzeichens sind, entsprechend.</w:t>
      </w:r>
    </w:p>
    <w:p>
      <w:r>
        <w:rPr>
          <w:color w:val="555555"/>
          <w:sz w:val="17"/>
        </w:rPr>
        <w:t xml:space="preserve">Zitiervorschlag: § 33a SGB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https://recht.nulegal.eu/gesetze/SGB%201/33a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