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SGB 1 — Kindergeld, Kinderzuschlag, Elterngeld und Leistungen für Bildung und Teilhabe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Nach dem Bundeskindergeldgesetz kann nur dann Kindergeld in Anspruch genommen werden, wenn nicht der Familienleistungsausgleich nach § 31 des Einkommensteuergesetzes zur Anwendung kommt. Nach dem Bundeskindergeldgesetz können auch der Kinderzuschlag und Leistungen für Bildung und Teilhabe in Anspruch genommen werden.</w:t>
      </w:r>
    </w:p>
    <w:p>
      <w:r>
        <w:t xml:space="preserve">(2) Nach dem Recht des Bundeselterngeld- und Elternzeitgesetzes kann Elterngeld in Anspruch genommen werden.</w:t>
      </w:r>
    </w:p>
    <w:p>
      <w:r>
        <w:t xml:space="preserve">(3) Für die Ausführung des Absatzes 1 sind die nach § 7 des Bundeskindergeldgesetzes bestimmten Stellen und für die Ausführung des Absatzes 2 die nach § 12 des Bundeselterngeld- und Elternzeitgesetzes bestimmten Stellen zuständig.</w:t>
      </w:r>
    </w:p>
    <w:p>
      <w:r>
        <w:rPr>
          <w:color w:val="555555"/>
          <w:sz w:val="17"/>
        </w:rPr>
        <w:t xml:space="preserve">Zitiervorschlag: § 25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