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SG — Übergangsvorschrift aus Anlass des Änderungsgesetzes vom 19. Dezember 2000 (BGBl. I S. 1815)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Berufssoldaten und Soldaten auf Zeit, die vor Inkrafttreten des Gesetzes zur Änderung des Soldatengesetzes und anderer Vorschriften vom 19. Dezember 2000 (BGBl. I S. 1815) ein Studium oder eine Fachausbildung begonnen haben, sind § 49 Abs. 4 und § 56 Abs. 4 in der bisherigen Fassung anzuwenden.</w:t>
      </w:r>
    </w:p>
    <w:p>
      <w:r>
        <w:t xml:space="preserve">(2) Auf die bei Inkrafttreten des Gesetzes zur Änderung des Soldatengesetzes und anderer Vorschriften vom 19. Dezember 2000 (BGBl. I S. 1815) vorhandenen Soldaten auf Zeit ist § 55 Abs. 4 in der bisherigen Fassung anzuwenden.</w:t>
      </w:r>
    </w:p>
    <w:p>
      <w:r>
        <w:rPr>
          <w:color w:val="555555"/>
          <w:sz w:val="17"/>
        </w:rPr>
        <w:t xml:space="preserve">Zitiervorschlag: § 97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