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SG — Verordnungsermächtigungen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Die Bundesregierung erlässt die Rechtsverordnungen über</w:t>
      </w:r>
    </w:p>
    <w:p>
      <w:pPr>
        <w:ind w:left="420"/>
      </w:pPr>
      <w:r>
        <w:t xml:space="preserve">1. die Nebentätigkeit der Soldaten nach § 20 Abs. 7,</w:t>
      </w:r>
    </w:p>
    <w:p>
      <w:pPr>
        <w:ind w:left="420"/>
      </w:pPr>
      <w:r>
        <w:t xml:space="preserve">2. die Laufbahnen der Soldaten nach § 27 Absatz 1, die Beurteilungen der Soldaten nach § 27a Absatz 3 und die Referenzgruppen nach § 27b Absatz 3,</w:t>
      </w:r>
    </w:p>
    <w:p>
      <w:pPr>
        <w:ind w:left="420"/>
      </w:pPr>
      <w:r>
        <w:t xml:space="preserve">3. den Urlaub der Soldaten nach § 28 Abs. 4,</w:t>
      </w:r>
    </w:p>
    <w:p>
      <w:pPr>
        <w:ind w:left="420"/>
      </w:pPr>
      <w:r>
        <w:t xml:space="preserve">4. die Regelungen zur Elternzeit der Soldaten nach § 28 Abs. 7 Satz 2,</w:t>
      </w:r>
    </w:p>
    <w:p>
      <w:pPr>
        <w:ind w:left="420"/>
      </w:pPr>
      <w:r>
        <w:t xml:space="preserve">5. die Jubiläumszuwendungen nach § 30 Abs. 4,</w:t>
      </w:r>
    </w:p>
    <w:p>
      <w:pPr>
        <w:ind w:left="420"/>
      </w:pPr>
      <w:r>
        <w:t xml:space="preserve">6. die Regelungen zum Mutterschutz für Soldatinnen nach § 30 Abs. 5 Satz 2,</w:t>
      </w:r>
    </w:p>
    <w:p>
      <w:pPr>
        <w:ind w:left="420"/>
      </w:pPr>
      <w:r>
        <w:t xml:space="preserve">7. die Verlängerung der Dienstzeit von Soldaten auf Zeit nach § 54 Abs. 3 Nr. 1,</w:t>
      </w:r>
    </w:p>
    <w:p>
      <w:pPr>
        <w:ind w:left="420"/>
      </w:pPr>
      <w:r>
        <w:t xml:space="preserve">8. die Erstattung von Auslagen, Verdienstausfall und Vertretungskosten nach § 70 Abs. 1 Satz 6,</w:t>
      </w:r>
    </w:p>
    <w:p>
      <w:pPr>
        <w:ind w:left="420"/>
      </w:pPr>
      <w:r>
        <w:t xml:space="preserve">9. die Zuständigkeit und das Verfahren bei der Unabkömmlichstellung nach § 68 Abs. 2 Satz 3.</w:t>
      </w:r>
    </w:p>
    <w:p>
      <w:pPr>
        <w:ind w:left="420"/>
      </w:pPr>
      <w:r>
        <w:t xml:space="preserve">10. (weggefallen)</w:t>
      </w:r>
    </w:p>
    <w:p>
      <w:r>
        <w:t xml:space="preserve">(2) Das Bundesministerium der Verteidigung erlässt die Rechtsverordnungen über</w:t>
      </w:r>
    </w:p>
    <w:p>
      <w:pPr>
        <w:ind w:left="420"/>
      </w:pPr>
      <w:r>
        <w:t xml:space="preserve">1. die Regelung des Vorgesetztenverhältnisses nach § 1 Absatz 3,</w:t>
      </w:r>
    </w:p>
    <w:p>
      <w:pPr>
        <w:ind w:left="420"/>
      </w:pPr>
      <w:r>
        <w:t xml:space="preserve">2. die Vorgaben zum Erscheinungsbild der Soldaten nach § 4 Absatz 4,</w:t>
      </w:r>
    </w:p>
    <w:p>
      <w:pPr>
        <w:ind w:left="420"/>
      </w:pPr>
      <w:r>
        <w:t xml:space="preserve">3. die Unteroffizierprüfungen und die Offizierprüfungen nach § 27 Absatz 7,</w:t>
      </w:r>
    </w:p>
    <w:p>
      <w:pPr>
        <w:ind w:left="420"/>
      </w:pPr>
      <w:r>
        <w:t xml:space="preserve">4. die Regelungen zur Ermöglichung einer unentgeltlichen Beförderung nach § 30 Absatz 6,</w:t>
      </w:r>
    </w:p>
    <w:p>
      <w:pPr>
        <w:ind w:left="420"/>
      </w:pPr>
      <w:r>
        <w:t xml:space="preserve">5. die Ausgestaltung der Teilzeitbeschäftigung nach § 30a,</w:t>
      </w:r>
    </w:p>
    <w:p>
      <w:pPr>
        <w:ind w:left="420"/>
      </w:pPr>
      <w:r>
        <w:t xml:space="preserve">6. die regelmäßige Arbeitszeit und die Maßnahmen zur Gewährleistung eines bestmöglichen Arbeits- und Gesundheitsschutzes bei besonderen Tätigkeiten nach § 30c Absatz 5,</w:t>
      </w:r>
    </w:p>
    <w:p>
      <w:pPr>
        <w:ind w:left="420"/>
      </w:pPr>
      <w:r>
        <w:t xml:space="preserve">7. die Nichtanwendung des § 30c Absatz 1 bis 3 und 5 nach § 30c Absatz 6,</w:t>
      </w:r>
    </w:p>
    <w:p>
      <w:pPr>
        <w:ind w:left="420"/>
      </w:pPr>
      <w:r>
        <w:t xml:space="preserve">8. die Anhebung der höchstzulässigen durchschnittlichen wöchentlichen Arbeitszeit nach § 30d Absatz 1 Satz 1 und die Gewährleistung eines bestmöglichen Arbeits- und Gesundheitsschutzes nach § 30d Absatz 2,</w:t>
      </w:r>
    </w:p>
    <w:p>
      <w:pPr>
        <w:ind w:left="420"/>
      </w:pPr>
      <w:r>
        <w:t xml:space="preserve">9. die verwendungsbezogenen Mindestdienstzeiten nach § 46 Absatz 3.</w:t>
      </w:r>
    </w:p>
    <w:p>
      <w:r>
        <w:t xml:space="preserve">(3) Das Bundesministerium der Verteidigung erlässt im Einvernehmen mit dem Bundesministerium des Innern und dem Bundesministerium der Finanzen die Rechtsverordnungen über</w:t>
      </w:r>
    </w:p>
    <w:p>
      <w:pPr>
        <w:ind w:left="420"/>
      </w:pPr>
      <w:r>
        <w:t xml:space="preserve">1. das Ausbildungsgeld nach § 30 Absatz 2,</w:t>
      </w:r>
    </w:p>
    <w:p>
      <w:pPr>
        <w:ind w:left="420"/>
      </w:pPr>
      <w:r>
        <w:t xml:space="preserve">2. die Kostenerstattung für Familien- und Haushaltshilfen nach § 31 Absatz 8,</w:t>
      </w:r>
    </w:p>
    <w:p>
      <w:pPr>
        <w:ind w:left="420"/>
      </w:pPr>
      <w:r>
        <w:t xml:space="preserve">3. Erstattung der Kosten für die Bestattung eines Soldaten in einem Ehrengrab der Bundeswehr nach § 31 Absatz 9.</w:t>
      </w:r>
    </w:p>
    <w:p>
      <w:r>
        <w:t xml:space="preserve">(4) Die Rechtsverordnung nach Absatz 1 Nr. 9 bedarf der Zustimmung des Bundesrates.</w:t>
      </w:r>
    </w:p>
    <w:p>
      <w:r>
        <w:rPr>
          <w:color w:val="555555"/>
          <w:sz w:val="17"/>
        </w:rPr>
        <w:t xml:space="preserve">Zitiervorschlag: § 93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https://recht.nulegal.eu/gesetze/SG/93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