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83 SG — Besondere Vorschriften für das Vorverfahren</w:t>
      </w:r>
    </w:p>
    <w:p>
      <w:r>
        <w:rPr>
          <w:color w:val="555555"/>
          <w:sz w:val="18"/>
        </w:rPr>
        <w:t xml:space="preserve">Soldatengesetz</w:t>
      </w:r>
    </w:p>
    <w:p>
      <w:r>
        <w:rPr>
          <w:color w:val="555555"/>
          <w:sz w:val="18"/>
        </w:rPr>
        <w:t xml:space="preserve">Stand: 03.01.2024 (konsolidierte Textfassung, kein amtliches Inkrafttretensdatum)</w:t>
      </w:r>
    </w:p>
    <w:p>
      <w:r>
        <w:t xml:space="preserve">(1) Der Widerspruch gegen Verwaltungsakte, die auf Grund des Vierten Abschnitts dieses Gesetzes durch die Wehrersatzbehörden ergehen, ist binnen zwei Wochen nach Zustellung des Bescheides schriftlich oder zur Niederschrift bei der Behörde zu erheben, die den Verwaltungsakt erlassen hat. Die Frist wird auch durch Einlegung bei der Behörde, die den Widerspruchsbescheid zu erlassen hat, gewahrt.</w:t>
      </w:r>
    </w:p>
    <w:p>
      <w:r>
        <w:t xml:space="preserve">(2) Über den Widerspruch gegen den Heranziehungsbescheid (§ 72 Abs. 1 Satz 1 und § 73 Satz 1), den Widerspruch gegen die Aufhebung eines Heranziehungsbescheides und den Widerspruch gegen den Untersuchungsbescheid (§ 71 Satz 5 und § 73 Satz 3) entscheidet das Bundesamt für das Personalmanagement der Bundeswehr. Der Widerspruch gegen den Heranziehungsbescheid, der Widerspruch gegen die Aufhebung eines Heranziehungsbescheides und der Widerspruch gegen den Untersuchungsbescheid haben keine aufschiebende Wirkung.</w:t>
      </w:r>
    </w:p>
    <w:p>
      <w:r>
        <w:rPr>
          <w:color w:val="555555"/>
          <w:sz w:val="17"/>
        </w:rPr>
        <w:t xml:space="preserve">Zitiervorschlag: § 83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