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SG — Zuständigkeiten</w:t>
      </w:r>
    </w:p>
    <w:p>
      <w:r>
        <w:rPr>
          <w:color w:val="555555"/>
          <w:sz w:val="18"/>
        </w:rPr>
        <w:t xml:space="preserve">Soldatengesetz</w:t>
      </w:r>
    </w:p>
    <w:p>
      <w:r>
        <w:rPr>
          <w:color w:val="555555"/>
          <w:sz w:val="18"/>
        </w:rPr>
        <w:t xml:space="preserve">Stand: 10.06.2019 (konsolidierte Textfassung, kein amtliches Inkrafttretensdatum)</w:t>
      </w:r>
    </w:p>
    <w:p>
      <w:r>
        <w:t xml:space="preserve">(1) Für Klagen der Soldaten, der Soldaten im Ruhestand, der früheren Soldaten, der Dienstleistungspflichtigen gemäß § 59 Abs. 3 Satz 1 und der Hinterbliebenen aus dem Wehrdienstverhältnis ist der Verwaltungsrechtsweg gegeben, soweit nicht ein anderer Rechtsweg gesetzlich vorgeschrieben ist.</w:t>
      </w:r>
    </w:p>
    <w:p>
      <w:r>
        <w:t xml:space="preserve">(2) Für Klagen des Bundes gilt das Gleiche.</w:t>
      </w:r>
    </w:p>
    <w:p>
      <w:r>
        <w:t xml:space="preserve">(3) Der Bund wird durch das Bundesministerium der Verteidigung vertreten. Dieses kann die Vertretung durch allgemeine Anordnung anderen Stellen übertragen; die Anordnung ist im Bundesgesetzblatt zu veröffentlichen.</w:t>
      </w:r>
    </w:p>
    <w:p>
      <w:r>
        <w:t xml:space="preserve">(4) Soweit Aufgaben des Bundesministeriums der Verteidigung in den Geschäftsbereich eines anderen Bundesministeriums übertragen worden sind, ist vor allen Klagen ein Vorverfahren nach den Vorschriften des 8. Abschnitts der Verwaltungsgerichtsordnung durchzuführen. Den Widerspruchsbescheid erlässt das Bundesministerium der Verteidigung. Es kann die Entscheidung durch allgemeine Anordnung anderen Behörden übertragen. Die Anordnung ist im Bundesgesetzblatt zu veröffentlichen.</w:t>
      </w:r>
    </w:p>
    <w:p>
      <w:r>
        <w:rPr>
          <w:color w:val="555555"/>
          <w:sz w:val="17"/>
        </w:rPr>
        <w:t xml:space="preserve">Zitiervorschlag: § 82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