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69a SG — Register für der Dienstleistungsüberwachung unterliegende Personen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Zur Aktualisierung der für die Zwecke der Dienstleistungsüberwachung nach § 77 Absatz 1 und 2 aus den Melderegistern abgerufenen Daten führt das Bundesamt für das Personalmanagement der Bundeswehr ein Register.</w:t>
      </w:r>
    </w:p>
    <w:p>
      <w:r>
        <w:t xml:space="preserve">(2) In dem Register nach Absatz 1 werden folgende personenbezogene Daten gespeichert: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frühere Namen,</w:t>
      </w:r>
    </w:p>
    <w:p>
      <w:pPr>
        <w:ind w:left="420"/>
      </w:pPr>
      <w:r>
        <w:t xml:space="preserve">3. Vornamen,</w:t>
      </w:r>
    </w:p>
    <w:p>
      <w:pPr>
        <w:ind w:left="420"/>
      </w:pPr>
      <w:r>
        <w:t xml:space="preserve">4. Doktorgrad,</w:t>
      </w:r>
    </w:p>
    <w:p>
      <w:pPr>
        <w:ind w:left="420"/>
      </w:pPr>
      <w:r>
        <w:t xml:space="preserve">5. Tag und Ort der Geburt,</w:t>
      </w:r>
    </w:p>
    <w:p>
      <w:pPr>
        <w:ind w:left="420"/>
      </w:pPr>
      <w:r>
        <w:t xml:space="preserve">6. Geschlecht,</w:t>
      </w:r>
    </w:p>
    <w:p>
      <w:pPr>
        <w:ind w:left="420"/>
      </w:pPr>
      <w:r>
        <w:t xml:space="preserve">7. Staatsangehörigkeiten,</w:t>
      </w:r>
    </w:p>
    <w:p>
      <w:pPr>
        <w:ind w:left="420"/>
      </w:pPr>
      <w:r>
        <w:t xml:space="preserve">8. gegenwärtige oder letzte bekannte Anschrift,</w:t>
      </w:r>
    </w:p>
    <w:p>
      <w:pPr>
        <w:ind w:left="420"/>
      </w:pPr>
      <w:r>
        <w:t xml:space="preserve">9. Sterbetag sowie</w:t>
      </w:r>
    </w:p>
    <w:p>
      <w:pPr>
        <w:ind w:left="420"/>
      </w:pPr>
      <w:r>
        <w:t xml:space="preserve">10. Tag des Einzugs und des Auszugs.</w:t>
      </w:r>
    </w:p>
    <w:p>
      <w:r>
        <w:t xml:space="preserve">(3) Hinsichtlich der datenverarbeitenden Regelungen zu Abruf- und Zugriffsrechten, zu Speicher- und Löschfristen sowie zu technisch-organisatorischen Maßnahmen sind § 29b Absatz 5 Satz 1 sowie die §§ 29d und 29e entsprechend anzuwenden.</w:t>
      </w:r>
    </w:p>
    <w:p>
      <w:r>
        <w:rPr>
          <w:color w:val="555555"/>
          <w:sz w:val="17"/>
        </w:rPr>
        <w:t xml:space="preserve">Zitiervorschlag: § 69a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