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58c SG — Verwendung und Löschung von Daten bei der Übersendung von Informationsmaterial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Zum Zweck der Übersendung von Informationsmaterial nach Absatz 2 übermitteln die Meldebehörden dem Bundesamt für das Personalmanagement der Bundeswehr jährlich bis zum 31. März folgende Daten zu Personen mit deutscher Staatsangehörigkeit, die im darauffolgenden Kalenderjahr volljährig werden: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Vornamen,</w:t>
      </w:r>
    </w:p>
    <w:p>
      <w:pPr>
        <w:ind w:left="420"/>
      </w:pPr>
      <w:r>
        <w:t xml:space="preserve">3. gegenwärtige Anschrift.</w:t>
      </w:r>
    </w:p>
    <w:p>
      <w:r>
        <w:t xml:space="preserve">(2) Das Bundesamt für das Personalmanagement der Bundeswehr darf die Daten nur dazu verwenden, Informationsmaterial über Tätigkeiten in den Streitkräften zu versenden.</w:t>
      </w:r>
    </w:p>
    <w:p>
      <w:r>
        <w:t xml:space="preserve">(3) Das Bundesamt für das Personalmanagement der Bundeswehr hat die Daten spätestens nach Ablauf eines Jahres nach Übermittlung der Daten zu löschen.</w:t>
      </w:r>
    </w:p>
    <w:p>
      <w:r>
        <w:rPr>
          <w:color w:val="555555"/>
          <w:sz w:val="17"/>
        </w:rPr>
        <w:t xml:space="preserve">Zitiervorschlag: § 58c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