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SG — Wehrdienst nach dem Wehrpflichtgesetz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Begründung der Wehrpflicht, die Heranziehung der Wehrpflichtigen zum Wehrdienst und die Beendigung ihres Wehrdienstes regelt das Wehrpflichtgesetz.</w:t>
      </w:r>
    </w:p>
    <w:p>
      <w:r>
        <w:t xml:space="preserve">(2) Die Beförderung eines Soldaten, der Wehrdienst nach dem Wehrpflichtgesetz leistet, wird mit der dienstlichen Bekanntgabe an den Soldaten, jedoch nicht vor dem in der Ernennungsverfügung bestimmten Tag wirksam. § 42 Abs. 2 Satz 2 gilt entsprechend. Die Sätze 1 und 2 gelten entsprechend für diejenigen, die freiwilligen Wehrdienst nach § 58b leisten oder zu den in § 60 genannten Dienstleistungen herangezogen werden.</w:t>
      </w:r>
    </w:p>
    <w:p>
      <w:r>
        <w:rPr>
          <w:color w:val="555555"/>
          <w:sz w:val="17"/>
        </w:rPr>
        <w:t xml:space="preserve">Zitiervorschlag: § 58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