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SG — Wiederaufnahme des Verfahrens, Verurteilungen nach Beendigung des Dienstverhältnisses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Wiederaufnahme des Verfahrens und für die Folgen von Verurteilungen nach Beendigung des Dienstverhältnisses als Soldat auf Zeit gelten die §§ 52 und 53 entsprechend.</w:t>
      </w:r>
    </w:p>
    <w:p>
      <w:r>
        <w:t xml:space="preserve">(2) Auf einen früheren Soldaten auf Zeit, der einen Mannschaftsdienstgrad führt, findet § 53 Abs. 2 keine Anwendung. Unterliegt er nicht der Wehrpflicht, so verliert er, abgesehen von den in § 53 Abs. 1 genannten Fällen, seinen Dienstgrad, wenn er die in § 59 Abs. 2 Satz 1 Nr. 2 bestimmte Altersgrenze nicht überschritten hat und gegen ihn auf eine der in § 48 Satz 1 bezeichneten Strafen, Maßregeln oder Nebenfolgen erkannt wird.</w:t>
      </w:r>
    </w:p>
    <w:p>
      <w:r>
        <w:rPr>
          <w:color w:val="555555"/>
          <w:sz w:val="17"/>
        </w:rPr>
        <w:t xml:space="preserve">Zitiervorschlag: § 57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