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56 SG — Folgen der Entlassung und des Verlustes der Rechtsstellung eines Soldaten auf Zeit</w:t>
      </w:r>
    </w:p>
    <w:p>
      <w:r>
        <w:rPr>
          <w:color w:val="555555"/>
          <w:sz w:val="18"/>
        </w:rPr>
        <w:t xml:space="preserve">Soldatengesetz</w:t>
      </w:r>
    </w:p>
    <w:p>
      <w:r>
        <w:rPr>
          <w:color w:val="555555"/>
          <w:sz w:val="18"/>
        </w:rPr>
        <w:t xml:space="preserve">Stand: 03.01.2024 (konsolidierte Textfassung, kein amtliches Inkrafttretensdatum)</w:t>
      </w:r>
    </w:p>
    <w:p>
      <w:r>
        <w:t xml:space="preserve">(1) Mit der Beendigung seines Dienstverhältnisses durch Zeitablauf nach § 54 Abs. 1, durch Entlassung nach § 55 oder durch Verlust seiner Rechtsstellung als Soldat auf Zeit nach § 54 Abs. 2 Nr. 2 endet die Zugehörigkeit des Soldaten auf Zeit zur Bundeswehr.</w:t>
      </w:r>
    </w:p>
    <w:p>
      <w:r>
        <w:t xml:space="preserve">(2) Mit der Entlassung entsprechend dem § 46 Abs. 1 und 2 Satz 1 Nr. 1 bis 4, 7, 8 und Absatz 2a und nach § 55 Abs. 5 sowie mit dem Verlust seiner Rechtsstellung als Soldat auf Zeit verliert der Soldat seinen Dienstgrad.</w:t>
      </w:r>
    </w:p>
    <w:p>
      <w:r>
        <w:t xml:space="preserve">(3) Nach dem Verlust seiner Rechtsstellung als Soldat auf Zeit und, soweit gesetzlich nichts anderes bestimmt ist, nach der Entlassung hat der frühere Soldat auf Zeit keinen Anspruch auf Dienstbezüge und Versorgung mit Ausnahme der Beschädigtenversorgung.</w:t>
      </w:r>
    </w:p>
    <w:p>
      <w:r>
        <w:t xml:space="preserve">(4) Ein früherer Soldat auf Zeit, dessen militärische Ausbildung mit einem Studium oder einer Fachausbildung verbunden war, muss die Kosten des Studiums oder der Fachausbildung erstatten, wenn er</w:t>
      </w:r>
    </w:p>
    <w:p>
      <w:pPr>
        <w:ind w:left="420"/>
      </w:pPr>
      <w:r>
        <w:t xml:space="preserve">1. auf seinen Antrag entlassen worden ist oder als auf eigenen Antrag entlassen gilt,</w:t>
      </w:r>
    </w:p>
    <w:p>
      <w:pPr>
        <w:ind w:left="420"/>
      </w:pPr>
      <w:r>
        <w:t xml:space="preserve">2. nach § 46 Absatz 2a entlassen worden ist,</w:t>
      </w:r>
    </w:p>
    <w:p>
      <w:pPr>
        <w:ind w:left="420"/>
      </w:pPr>
      <w:r>
        <w:t xml:space="preserve">3. seine Entlassung nach § 55 Absatz 4 vorsätzlich oder grob fahrlässig herbeigeführt hat,</w:t>
      </w:r>
    </w:p>
    <w:p>
      <w:pPr>
        <w:ind w:left="420"/>
      </w:pPr>
      <w:r>
        <w:t xml:space="preserve">4. nach § 55 Absatz 5 entlassen worden ist,</w:t>
      </w:r>
    </w:p>
    <w:p>
      <w:pPr>
        <w:ind w:left="420"/>
      </w:pPr>
      <w:r>
        <w:t xml:space="preserve">5. seine Rechtsstellung verloren hat oder</w:t>
      </w:r>
    </w:p>
    <w:p>
      <w:pPr>
        <w:ind w:left="420"/>
      </w:pPr>
      <w:r>
        <w:t xml:space="preserve">6. durch Urteil in einem gerichtlichen Disziplinarverfahren aus dem Dienstverhältnis entfernt worden ist.</w:t>
      </w:r>
    </w:p>
    <w:p>
      <w:r>
        <w:t xml:space="preserve">Unter den gleichen Voraussetzungen muss ein früherer Soldat auf Zeit in der Laufbahn der Offiziere des Sanitätsdienstes das ihm als Sanitätsoffizieranwärter gewährte Ausbildungsgeld erstatten. Auf die Erstattung kann ganz oder teilweise verzichtet werden, wenn sie für den früheren Soldaten eine besondere Härte bedeuten würde. Gestundete Erstattungsbeträge sind nach Ablauf eines Monats nach der Bekanntgabe des Rückforderungsbescheids bis zum Ablauf des Kalendermonats vor der Zahlung mit 5 Prozentpunkten über dem jeweiligen Basiszinssatz nach § 247 des Bürgerlichen Gesetzbuchs zu verzinsen.</w:t>
      </w:r>
    </w:p>
    <w:p>
      <w:r>
        <w:rPr>
          <w:color w:val="555555"/>
          <w:sz w:val="17"/>
        </w:rPr>
        <w:t xml:space="preserve">Zitiervorschlag: § 56 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https://recht.nulegal.eu/gesetze/SG/56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