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SG — Versetzung in den einstweiligen Ruhestand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Bundespräsident kann die Berufsoffiziere vom Brigadegeneral und den entsprechenden Dienstgraden an aufwärts jederzeit in den einstweiligen Ruhestand versetzen.</w:t>
      </w:r>
    </w:p>
    <w:p>
      <w:r>
        <w:t xml:space="preserve">(2) Die für den einstweiligen Ruhestand der Beamten geltenden Vorschriften der §§ 56, 57 und 58 Abs. 1 des Bundesbeamtengesetzes finden entsprechende Anwendung. Der in den einstweiligen Ruhestand versetzte Berufsoffizier gilt mit Erreichen der allgemeinen Altersgrenze als dauernd in den Ruhestand versetzt.</w:t>
      </w:r>
    </w:p>
    <w:p>
      <w:r>
        <w:rPr>
          <w:color w:val="555555"/>
          <w:sz w:val="17"/>
        </w:rPr>
        <w:t xml:space="preserve">Zitiervorschlag: § 50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