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SG — Zuständigkeit, Anhörungspflicht und Fristen bei der Entlassung</w:t>
      </w:r>
    </w:p>
    <w:p>
      <w:r>
        <w:rPr>
          <w:color w:val="555555"/>
          <w:sz w:val="18"/>
        </w:rPr>
        <w:t xml:space="preserve">Soldatengesetz</w:t>
      </w:r>
    </w:p>
    <w:p>
      <w:r>
        <w:rPr>
          <w:color w:val="555555"/>
          <w:sz w:val="18"/>
        </w:rPr>
        <w:t xml:space="preserve">Stand: 10.06.2019 (konsolidierte Textfassung, kein amtliches Inkrafttretensdatum)</w:t>
      </w:r>
    </w:p>
    <w:p>
      <w:r>
        <w:t xml:space="preserve">(1) Soweit gesetzlich nichts anderes bestimmt ist, wird die Entlassung von der Stelle verfügt, die nach § 4 Abs. 2 für die Ernennung des Berufssoldaten zuständig wäre.</w:t>
      </w:r>
    </w:p>
    <w:p>
      <w:r>
        <w:t xml:space="preserve">(2) Der Berufssoldat ist vor der Entscheidung über seine Entlassung zu hören.</w:t>
      </w:r>
    </w:p>
    <w:p>
      <w:r>
        <w:t xml:space="preserve">(3) Die Entlassung muss in den Fällen des § 46 Abs. 2 Satz 1 Nr. 2 und 3 innerhalb einer Frist von sechs Monaten verfügt werden, nachdem das Bundesministerium der Verteidigung oder die Stelle, der die Ausübung der Befugnis zur Entlassung übertragen worden ist, von dem Entlassungsgrund Kenntnis erhalten hat.</w:t>
      </w:r>
    </w:p>
    <w:p>
      <w:r>
        <w:t xml:space="preserve">(4) Die Entlassungsverfügung muss dem Soldaten in den Fällen des § 46 Abs. 2 Satz 1 Nr. 6 bei Dienstunfähigkeit wenigstens drei Monate vor dem Entlassungstag und in den Fällen des § 46 Abs. 8 wenigstens sechs Wochen vor dem Entlassungstag zum Schluss eines Kalendervierteljahres unter schriftlicher Angabe der Gründe zugestellt werden.</w:t>
      </w:r>
    </w:p>
    <w:p>
      <w:r>
        <w:rPr>
          <w:color w:val="555555"/>
          <w:sz w:val="17"/>
        </w:rPr>
        <w:t xml:space="preserve">Zitiervorschlag: § 47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