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45a SG — Umwandlung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Beantragt ein Berufssoldat die Umwandlung seines Dienstverhältnisses in das eines Soldaten auf Zeit, kann dem Antrag bei Vorliegen eines dienstlichen Interesses stattgegeben werden.</w:t>
      </w:r>
    </w:p>
    <w:p>
      <w:r>
        <w:t xml:space="preserve">(2) Die Dienstzeit soll die zur Durchführung der Berufsförderung notwendige Zeit der Freistellung vom militärischen Dienst umfassen.</w:t>
      </w:r>
    </w:p>
    <w:p>
      <w:r>
        <w:t xml:space="preserve">(3) Bei der Umwandlung müssen die Voraussetzungen des § 46 Abs. 3 nicht vorliegen.</w:t>
      </w:r>
    </w:p>
    <w:p>
      <w:r>
        <w:rPr>
          <w:color w:val="555555"/>
          <w:sz w:val="17"/>
        </w:rPr>
        <w:t xml:space="preserve">Zitiervorschlag: § 45a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https://recht.nulegal.eu/gesetze/SG/45a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