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31a SG — Zahlung durch den Dienstherrn bei Schmerzensgeldansprüchen</w:t>
      </w:r>
    </w:p>
    <w:p>
      <w:r>
        <w:rPr>
          <w:color w:val="555555"/>
          <w:sz w:val="18"/>
        </w:rPr>
        <w:t xml:space="preserve">Soldatengesetz</w:t>
      </w:r>
    </w:p>
    <w:p>
      <w:r>
        <w:rPr>
          <w:color w:val="555555"/>
          <w:sz w:val="18"/>
        </w:rPr>
        <w:t xml:space="preserve">Stand: 01.01.2025 (konsolidierte Textfassung, kein amtliches Inkrafttretensdatum)</w:t>
      </w:r>
    </w:p>
    <w:p>
      <w:r>
        <w:t xml:space="preserve">(1) Hat ein Soldat wegen einer vorsätzlichen Verletzung des Körpers, der Gesundheit, der Freiheit oder der sexuellen Selbstbestimmung, die ihm wegen seiner Eigenschaft als Soldat zugefügt worden ist, einen durch ein rechtskräftiges Endurteil eines deutschen Gerichts festgestellten Anspruch auf Schmerzensgeld gegen einen Dritten, so soll der Dienstherr auf Antrag die Zahlung auf diesen Anspruch bis zur Höhe des zuerkannten Schmerzensgeldanspruchs übernehmen, sofern dies zur Vermeidung einer unbilligen Härte notwendig ist. Der rechtskräftigen Feststellung steht ein nicht oder nicht mehr widerruflicher Vergleich nach § 794 Absatz 1 Nummer 1 der Zivilprozessordnung gleich, wenn er der Höhe nach angemessen ist.</w:t>
      </w:r>
    </w:p>
    <w:p>
      <w:r>
        <w:t xml:space="preserve">(2) Eine unbillige Härte liegt insbesondere vor, wenn ein Versuch der Vollstreckung in das Vermögen nicht zu einer vollständigen Befriedigung des Soldaten geführt hat, sofern der Betrag, hinsichtlich dessen der Soldat nicht befriedigt wurde, mindestens 250 Euro erreicht.</w:t>
      </w:r>
    </w:p>
    <w:p>
      <w:r>
        <w:t xml:space="preserve">(3) Der Dienstherr kann die Zahlung nach Absatz 1 ablehnen, wenn auf Grund desselben Sachverhalts eine einmalige Unfallentschädigung (§ 84 des Soldatenversorgungsgesetzes) oder ein Ausgleich für gesundheitliche Schädigungsfolgen nach dem Soldatenentschädigungsgesetz gezahlt wird.</w:t>
      </w:r>
    </w:p>
    <w:p>
      <w:r>
        <w:t xml:space="preserve">(4) Der Antrag nach Absatz 1 kann innerhalb einer Ausschlussfrist von zwei Jahren nach Rechtskraft des Urteils nach Absatz 1 Satz 1 oder nach Eintritt der Unwiderruflichkeit des Vergleichs nach Absatz 1 Satz 2 schriftlich oder elektronisch gestellt werden. Dem Antrag ist ein Nachweis des Vollstreckungsversuches beizufügen. Die Entscheidung trifft das Bundesministerium der Verteidigung oder die von ihm zu bestimmende Stelle. Für Versorgungsempfänger ist die für die Zahlung der Versorgungsbezüge verantwortliche Stelle zuständig. Soweit der Dienstherr die Zahlung übernommen hat, gehen Ansprüche gegen Dritte auf ihn über. Der Übergang der Ansprüche kann nicht zum Nachteil der oder des Geschädigten geltend gemacht werden.</w:t>
      </w:r>
    </w:p>
    <w:p>
      <w:r>
        <w:t xml:space="preserve">(5) Absatz 1 ist nicht anzuwenden auf Schmerzensgeldansprüche, die im Wege des Urkundenprozesses nach den §§ 592 bis 600 der Zivilprozessordnung festgestellt worden sind.</w:t>
      </w:r>
    </w:p>
    <w:p>
      <w:r>
        <w:rPr>
          <w:color w:val="555555"/>
          <w:sz w:val="17"/>
        </w:rPr>
        <w:t xml:space="preserve">Zitiervorschlag: § 31a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