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SG — Ernennungs- und Verwendungsgrundsätze</w:t>
      </w:r>
    </w:p>
    <w:p>
      <w:r>
        <w:rPr>
          <w:color w:val="555555"/>
          <w:sz w:val="18"/>
        </w:rPr>
        <w:t xml:space="preserve">Soldatengesetz</w:t>
      </w:r>
    </w:p>
    <w:p>
      <w:r>
        <w:rPr>
          <w:color w:val="555555"/>
          <w:sz w:val="18"/>
        </w:rPr>
        <w:t xml:space="preserve">Stand: 01.01.2025 (konsolidierte Textfassung, kein amtliches Inkrafttretensdatum)</w:t>
      </w:r>
    </w:p>
    <w:p>
      <w:r>
        <w:t xml:space="preserve">(1) Der Soldat ist nach Eignung, Befähigung und Leistung ohne Rücksicht auf Geschlecht, sexuelle Identität, Abstammung, Rasse, Glauben, Weltanschauung, religiöse oder politische Anschauungen, Heimat, ethnische oder sonstige Herkunft zu ernennen und zu verwenden.</w:t>
      </w:r>
    </w:p>
    <w:p>
      <w:r>
        <w:t xml:space="preserve">(2) Bei der Feststellung der Dienstfähigkeit sowie bei Ernennungs- und Verwendungsentscheidungen kann ein geringeres Maß der körperlichen Eignung verlangt werden, soweit die Einschränkung der körperlichen Eignung zurückzuführen ist auf</w:t>
      </w:r>
    </w:p>
    <w:p>
      <w:pPr>
        <w:ind w:left="420"/>
      </w:pPr>
      <w:r>
        <w:t xml:space="preserve">1. eine Wehrdienstbeschädigung im Sinne des § 3 Absatz 1 des Soldatenentschädigungsgesetzes oder</w:t>
      </w:r>
    </w:p>
    <w:p>
      <w:pPr>
        <w:ind w:left="420"/>
      </w:pPr>
      <w:r>
        <w:t xml:space="preserve">2. einen Einsatzunfall im Sinne des § 87 Absatz 2 des Soldatenversorgungsgesetzes.</w:t>
      </w:r>
    </w:p>
    <w:p>
      <w:r>
        <w:t xml:space="preserve">Satz 1 gilt nicht, wenn der Soldat die Schädigung vorsätzlich oder grob fahrlässig verursacht hat, es sei denn, dass der Ausschluss eine unbillige Härte bedeuten würde.</w:t>
      </w:r>
    </w:p>
    <w:p>
      <w:r>
        <w:t xml:space="preserve">(3) Absatz 2 gilt entsprechend für die Wiedereinstellung früherer Soldaten, denen kein Anspruch nach dem Einsatz-Weiterverwendungsgesetz zusteht.</w:t>
      </w:r>
    </w:p>
    <w:p>
      <w:r>
        <w:rPr>
          <w:color w:val="555555"/>
          <w:sz w:val="17"/>
        </w:rPr>
        <w:t xml:space="preserve">Zitiervorschlag: § 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