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 — Verhalten im und außer Dienst</w:t>
      </w:r>
    </w:p>
    <w:p>
      <w:r>
        <w:rPr>
          <w:color w:val="555555"/>
          <w:sz w:val="18"/>
        </w:rPr>
        <w:t xml:space="preserve">Soldatengesetz</w:t>
      </w:r>
    </w:p>
    <w:p>
      <w:r>
        <w:rPr>
          <w:color w:val="555555"/>
          <w:sz w:val="18"/>
        </w:rPr>
        <w:t xml:space="preserve">Stand: 16.08.2019 (konsolidierte Textfassung, kein amtliches Inkrafttretensdatum)</w:t>
      </w:r>
    </w:p>
    <w:p>
      <w:r>
        <w:t xml:space="preserve">(1) Der Soldat hat Disziplin zu wahren und die dienstliche Stellung des Vorgesetzten in seiner Person auch außerhalb des Dienstes zu achten.</w:t>
      </w:r>
    </w:p>
    <w:p>
      <w:r>
        <w:t xml:space="preserve">(2) Sein Verhalten muss dem Ansehen der Bundeswehr sowie der Achtung und dem Vertrauen gerecht werden, die sein Dienst als Soldat erfordert. Der Soldat darf innerhalb der dienstlichen Unterkünfte und Anlagen auch während der Freizeit sein Gesicht nicht verhüllen, es sei denn, dienstliche oder gesundheitliche Gründe erfordern dies. Außer Dienst hat sich der Soldat außerhalb der dienstlichen Unterkünfte und Anlagen so zu verhalten, dass er das Ansehen der Bundeswehr oder die Achtung und das Vertrauen, die seine dienstliche Stellung erfordert, nicht ernsthaft beeinträchtigt.</w:t>
      </w:r>
    </w:p>
    <w:p>
      <w:r>
        <w:t xml:space="preserve">(3) Ein Offizier oder Unteroffizier muss auch nach seinem Ausscheiden aus dem Wehrdienst der Achtung und dem Vertrauen gerecht werden, die für seine Wiederverwendung in seinem Dienstgrad erforderlich sind.</w:t>
      </w:r>
    </w:p>
    <w:p>
      <w:r>
        <w:t xml:space="preserve">(4) (weggefallen)</w:t>
      </w:r>
    </w:p>
    <w:p>
      <w:r>
        <w:rPr>
          <w:color w:val="555555"/>
          <w:sz w:val="17"/>
        </w:rPr>
        <w:t xml:space="preserve">Zitiervorschlag: § 17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