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SFPMG (Brandenburg) — Finanzierung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Erfüllung des Stiftungszwecks erhält die Stiftung Zuwendungen nach Maßgabe der jeweiligen Haushaltspläne des Landes Brandenburg und der Stadt Cottbus/Chóśebuz. Das Nähere regelt das Finanzierungsabkommen.</w:t>
      </w:r>
    </w:p>
    <w:p>
      <w:r>
        <w:t xml:space="preserve">(2) Die Stiftung ist berechtigt, Schenkungen, Erbschaften, Zustiftungen und Zuwendungen von dritter Seite zur Erfüllung des Stiftungszwecks anzunehmen.</w:t>
      </w:r>
    </w:p>
    <w:p>
      <w:r>
        <w:t xml:space="preserve">(3) Die Erträge des Stiftungsvermögens sowie sonstige Einnahmen und Erträge sind nur im Sinne des Stiftungszwecks zu verwenden. Die Stiftung ist selbstlos tätig; sie verfolgt nicht in erster Linie eigenwirtschaftliche Zwecke. Es darf keine Person durch Ausgaben, die dem Zweck der Stiftung fremd sind, oder durch unverhältnismäßig hohe Vergütungen begünstigt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