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 SFPMG (Brandenburg) — Stiftungsvermögen</w:t>
      </w:r>
    </w:p>
    <w:p>
      <w:r>
        <w:rPr>
          <w:color w:val="555555"/>
          <w:sz w:val="18"/>
        </w:rPr>
        <w:t xml:space="preserve">Gesetz über die Errichtung der Stiftung „Fürst-Pückler-Museum Park und Schloss Branitz“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01.08.2026 (konsolidierte Textfassung, kein amtliches Inkrafttretensdatum)</w:t>
      </w:r>
    </w:p>
    <w:p>
      <w:r>
        <w:t xml:space="preserve">(1) Das Eigentum an den in der Anlage aufgeführten Liegenschaften des Denkmalensembles Park und Schloss Branitz geht mit Inkrafttreten dieses Gesetzes auf die Stiftung entschädigungslos und ergebnisneutral über.</w:t>
      </w:r>
    </w:p>
    <w:p>
      <w:r>
        <w:t xml:space="preserve">(2) Das Land Brandenburg und die Stadt Cottbus/Chosébuz können auf übereinstimmenden Wunsch der Stiftung weitere Vermögensgegenstände übertragen.</w:t>
      </w:r>
    </w:p>
    <w:p>
      <w:r>
        <w:t xml:space="preserve">(3) Das Vermögen der Stiftung ist zu erhalten.</w:t>
      </w:r>
    </w:p>
    <w:p>
      <w:r>
        <w:t xml:space="preserve">Einzelnorm</w:t>
      </w:r>
    </w:p>
    <w:p>
      <w:r>
        <w:rPr>
          <w:color w:val="555555"/>
          <w:sz w:val="17"/>
        </w:rPr>
        <w:t xml:space="preserve">Zitiervorschlag: § 3 SFPMG (Brandenburg)</w:t>
      </w:r>
    </w:p>
    <w:p>
      <w:r>
        <w:rPr>
          <w:color w:val="555555"/>
          <w:sz w:val="17"/>
        </w:rPr>
        <w:t xml:space="preserve">Quelle: bravors, abgerufen 01.08.2026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https://recht.nulegal.eu/gesetze/SFPMG/3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